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CC" w:rsidRDefault="00F813CC" w:rsidP="00B976C5">
      <w:pPr>
        <w:spacing w:after="0" w:line="360" w:lineRule="auto"/>
        <w:jc w:val="both"/>
        <w:rPr>
          <w:rFonts w:ascii="Palatino Linotype" w:hAnsi="Palatino Linotype"/>
          <w:b/>
          <w:sz w:val="24"/>
          <w:szCs w:val="24"/>
        </w:rPr>
      </w:pPr>
    </w:p>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EN LA </w:t>
      </w:r>
      <w:r w:rsidR="00F813CC">
        <w:rPr>
          <w:rFonts w:ascii="Palatino Linotype" w:hAnsi="Palatino Linotype"/>
          <w:b/>
          <w:sz w:val="24"/>
          <w:szCs w:val="24"/>
        </w:rPr>
        <w:t>TR</w:t>
      </w:r>
      <w:r w:rsidR="008C12DC">
        <w:rPr>
          <w:rFonts w:ascii="Palatino Linotype" w:hAnsi="Palatino Linotype"/>
          <w:b/>
          <w:sz w:val="24"/>
          <w:szCs w:val="24"/>
        </w:rPr>
        <w:t xml:space="preserve">IGÉSIMA </w:t>
      </w:r>
      <w:r w:rsidR="00F813CC">
        <w:rPr>
          <w:rFonts w:ascii="Palatino Linotype" w:hAnsi="Palatino Linotype"/>
          <w:b/>
          <w:sz w:val="24"/>
          <w:szCs w:val="24"/>
        </w:rPr>
        <w:t xml:space="preserve">SEGUNDA </w:t>
      </w:r>
      <w:r w:rsidR="002A066C" w:rsidRPr="00B51880">
        <w:rPr>
          <w:rFonts w:ascii="Palatino Linotype" w:hAnsi="Palatino Linotype"/>
          <w:b/>
          <w:sz w:val="24"/>
          <w:szCs w:val="24"/>
        </w:rPr>
        <w:t xml:space="preserve">SESIÓN ORDINARIA </w:t>
      </w:r>
      <w:r w:rsidRPr="00B51880">
        <w:rPr>
          <w:rFonts w:ascii="Palatino Linotype" w:hAnsi="Palatino Linotype"/>
          <w:b/>
          <w:sz w:val="24"/>
          <w:szCs w:val="24"/>
        </w:rPr>
        <w:t xml:space="preserve">DEL </w:t>
      </w:r>
      <w:r w:rsidR="00F813CC">
        <w:rPr>
          <w:rFonts w:ascii="Palatino Linotype" w:hAnsi="Palatino Linotype"/>
          <w:b/>
          <w:sz w:val="24"/>
          <w:szCs w:val="24"/>
        </w:rPr>
        <w:t xml:space="preserve">CINCO DE SEPTIEMBRE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962155">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F813CC">
        <w:rPr>
          <w:rFonts w:ascii="Palatino Linotype" w:hAnsi="Palatino Linotype"/>
          <w:b/>
          <w:sz w:val="24"/>
          <w:szCs w:val="24"/>
          <w:lang w:val="es-ES_tradnl"/>
        </w:rPr>
        <w:t>2593</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F813CC">
        <w:rPr>
          <w:rFonts w:ascii="Palatino Linotype" w:hAnsi="Palatino Linotype"/>
          <w:b/>
          <w:sz w:val="24"/>
          <w:szCs w:val="24"/>
          <w:lang w:val="es-ES_tradnl"/>
        </w:rPr>
        <w:t>2593</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D60C30" w:rsidRPr="005E7F58">
        <w:rPr>
          <w:rFonts w:ascii="Palatino Linotype" w:hAnsi="Palatino Linotype"/>
          <w:sz w:val="24"/>
          <w:szCs w:val="24"/>
          <w:lang w:val="es-ES_tradnl"/>
        </w:rPr>
        <w:t>p</w:t>
      </w:r>
      <w:r w:rsidR="00807B02" w:rsidRPr="005E7F58">
        <w:rPr>
          <w:rFonts w:ascii="Palatino Linotype" w:hAnsi="Palatino Linotype"/>
          <w:sz w:val="24"/>
          <w:szCs w:val="24"/>
        </w:rPr>
        <w:t>ronunciada por el Pleno de este Instituto an</w:t>
      </w:r>
      <w:r w:rsidR="00F813CC">
        <w:rPr>
          <w:rFonts w:ascii="Palatino Linotype" w:hAnsi="Palatino Linotype"/>
          <w:sz w:val="24"/>
          <w:szCs w:val="24"/>
        </w:rPr>
        <w:t>te el proyecto presentado por el</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Comisionad</w:t>
      </w:r>
      <w:r w:rsidR="00F813CC">
        <w:rPr>
          <w:rFonts w:ascii="Palatino Linotype" w:hAnsi="Palatino Linotype"/>
          <w:sz w:val="24"/>
          <w:szCs w:val="24"/>
        </w:rPr>
        <w:t>o</w:t>
      </w:r>
      <w:r w:rsidR="00C21974">
        <w:rPr>
          <w:rFonts w:ascii="Palatino Linotype" w:hAnsi="Palatino Linotype"/>
          <w:sz w:val="24"/>
          <w:szCs w:val="24"/>
        </w:rPr>
        <w:t xml:space="preserve"> </w:t>
      </w:r>
      <w:r w:rsidR="00F813CC">
        <w:rPr>
          <w:rFonts w:ascii="Palatino Linotype" w:hAnsi="Palatino Linotype"/>
          <w:b/>
          <w:sz w:val="24"/>
          <w:szCs w:val="24"/>
          <w:lang w:val="es-ES_tradnl"/>
        </w:rPr>
        <w:t>José Guadalupe Luna Hernández</w:t>
      </w:r>
      <w:r w:rsidR="00807B02" w:rsidRPr="005E7F58">
        <w:rPr>
          <w:rFonts w:ascii="Palatino Linotype" w:hAnsi="Palatino Linotype"/>
          <w:sz w:val="24"/>
          <w:szCs w:val="24"/>
        </w:rPr>
        <w:t xml:space="preserve">, que es del tenor siguiente: </w:t>
      </w:r>
    </w:p>
    <w:p w:rsidR="00C21974" w:rsidRPr="00C21974" w:rsidRDefault="00C21974" w:rsidP="00C21974">
      <w:pPr>
        <w:tabs>
          <w:tab w:val="left" w:pos="709"/>
        </w:tabs>
        <w:spacing w:before="240" w:line="360" w:lineRule="auto"/>
        <w:ind w:right="51"/>
        <w:jc w:val="both"/>
        <w:rPr>
          <w:rFonts w:ascii="Palatino Linotype" w:hAnsi="Palatino Linotype"/>
          <w:i/>
          <w:sz w:val="24"/>
          <w:szCs w:val="24"/>
        </w:rPr>
      </w:pPr>
      <w:r w:rsidRPr="00C21974">
        <w:rPr>
          <w:rFonts w:ascii="Palatino Linotype" w:hAnsi="Palatino Linotype"/>
          <w:sz w:val="24"/>
          <w:szCs w:val="24"/>
        </w:rPr>
        <w:t xml:space="preserve">De la solicitud de información </w:t>
      </w:r>
      <w:r w:rsidR="00F813CC" w:rsidRPr="00F813CC">
        <w:rPr>
          <w:rFonts w:ascii="Palatino Linotype" w:hAnsi="Palatino Linotype"/>
          <w:b/>
          <w:sz w:val="24"/>
          <w:szCs w:val="24"/>
          <w:lang w:val="es-ES"/>
        </w:rPr>
        <w:t>00101/CHIMALHU/IP/2018</w:t>
      </w:r>
      <w:r w:rsidRPr="00C21974">
        <w:rPr>
          <w:rFonts w:ascii="Palatino Linotype" w:hAnsi="Palatino Linotype"/>
          <w:sz w:val="24"/>
          <w:szCs w:val="24"/>
        </w:rPr>
        <w:t xml:space="preserve"> destaca que el particular requirió </w:t>
      </w:r>
      <w:r>
        <w:rPr>
          <w:rFonts w:ascii="Palatino Linotype" w:hAnsi="Palatino Linotype"/>
          <w:sz w:val="24"/>
          <w:szCs w:val="24"/>
        </w:rPr>
        <w:t xml:space="preserve">el </w:t>
      </w:r>
      <w:r w:rsidRPr="009C4D4A">
        <w:rPr>
          <w:rFonts w:ascii="Palatino Linotype" w:eastAsia="Times New Roman" w:hAnsi="Palatino Linotype" w:cs="Times New Roman"/>
          <w:i/>
          <w:sz w:val="24"/>
          <w:szCs w:val="24"/>
          <w:lang w:val="es-ES_tradnl" w:eastAsia="es-ES"/>
        </w:rPr>
        <w:t>“</w:t>
      </w:r>
      <w:r w:rsidR="00F813CC" w:rsidRPr="00F813CC">
        <w:rPr>
          <w:rFonts w:ascii="Palatino Linotype" w:hAnsi="Palatino Linotype"/>
          <w:i/>
          <w:color w:val="000000"/>
          <w:sz w:val="24"/>
          <w:szCs w:val="24"/>
          <w:lang w:val="es-ES_tradnl"/>
        </w:rPr>
        <w:t>Solicito una lista detallada de todos los terrenos y bienes inmuebles que ha recibido el municipio de Chimalhuacán –desde 1998 a la fecha– como donación, usufructo, compra/venta, traspaso y/o cesión de derechos, etcétera. Indiqu</w:t>
      </w:r>
      <w:bookmarkStart w:id="0" w:name="_GoBack"/>
      <w:bookmarkEnd w:id="0"/>
      <w:r w:rsidR="00F813CC" w:rsidRPr="00F813CC">
        <w:rPr>
          <w:rFonts w:ascii="Palatino Linotype" w:hAnsi="Palatino Linotype"/>
          <w:i/>
          <w:color w:val="000000"/>
          <w:sz w:val="24"/>
          <w:szCs w:val="24"/>
          <w:lang w:val="es-ES_tradnl"/>
        </w:rPr>
        <w:t xml:space="preserve">en fecha (día, mes y año), valor </w:t>
      </w:r>
      <w:r w:rsidR="00F813CC" w:rsidRPr="00F813CC">
        <w:rPr>
          <w:rFonts w:ascii="Palatino Linotype" w:hAnsi="Palatino Linotype"/>
          <w:i/>
          <w:color w:val="000000"/>
          <w:sz w:val="24"/>
          <w:szCs w:val="24"/>
          <w:lang w:val="es-ES_tradnl"/>
        </w:rPr>
        <w:lastRenderedPageBreak/>
        <w:t>catastral (del año de la transacción), tipo de bien, tipo de transacción, ubicación exacta, uso anterior y uso actual de dichos terrenos y bienes inmuebles</w:t>
      </w:r>
      <w:r w:rsidRPr="009C4D4A">
        <w:rPr>
          <w:rFonts w:ascii="Palatino Linotype" w:eastAsia="Times New Roman" w:hAnsi="Palatino Linotype" w:cs="Times New Roman"/>
          <w:i/>
          <w:sz w:val="24"/>
          <w:szCs w:val="24"/>
          <w:lang w:val="es-ES_tradnl" w:eastAsia="es-ES"/>
        </w:rPr>
        <w:t>”</w:t>
      </w:r>
      <w:r w:rsidR="009C4D4A">
        <w:rPr>
          <w:rFonts w:ascii="Palatino Linotype" w:eastAsia="Times New Roman" w:hAnsi="Palatino Linotype" w:cs="Times New Roman"/>
          <w:i/>
          <w:sz w:val="24"/>
          <w:szCs w:val="24"/>
          <w:lang w:val="es-ES_tradnl" w:eastAsia="es-ES"/>
        </w:rPr>
        <w:t>.</w:t>
      </w:r>
    </w:p>
    <w:p w:rsidR="00F813CC" w:rsidRPr="000A0EA9" w:rsidRDefault="00C21974" w:rsidP="000A0EA9">
      <w:pPr>
        <w:spacing w:before="120" w:after="120" w:line="360" w:lineRule="auto"/>
        <w:jc w:val="both"/>
        <w:rPr>
          <w:rFonts w:ascii="Palatino Linotype" w:hAnsi="Palatino Linotype" w:cs="Arial"/>
          <w:sz w:val="24"/>
          <w:szCs w:val="24"/>
          <w:lang w:val="es-ES"/>
        </w:rPr>
      </w:pPr>
      <w:r w:rsidRPr="009C4D4A">
        <w:rPr>
          <w:rFonts w:ascii="Palatino Linotype" w:hAnsi="Palatino Linotype" w:cs="Arial"/>
          <w:sz w:val="24"/>
          <w:szCs w:val="24"/>
          <w:lang w:val="es-ES"/>
        </w:rPr>
        <w:t>E</w:t>
      </w:r>
      <w:r w:rsidR="00B52EB1" w:rsidRPr="009C4D4A">
        <w:rPr>
          <w:rFonts w:ascii="Palatino Linotype" w:hAnsi="Palatino Linotype" w:cs="Arial"/>
          <w:sz w:val="24"/>
          <w:szCs w:val="24"/>
          <w:lang w:val="es-ES"/>
        </w:rPr>
        <w:t xml:space="preserve">n respuesta, el </w:t>
      </w:r>
      <w:r w:rsidRPr="009C4D4A">
        <w:rPr>
          <w:rFonts w:ascii="Palatino Linotype" w:hAnsi="Palatino Linotype" w:cs="Arial"/>
          <w:sz w:val="24"/>
          <w:szCs w:val="24"/>
          <w:lang w:val="es-ES"/>
        </w:rPr>
        <w:t>Sujeto Obligado</w:t>
      </w:r>
      <w:r w:rsidR="00F813CC">
        <w:rPr>
          <w:rFonts w:ascii="Palatino Linotype" w:hAnsi="Palatino Linotype" w:cs="Arial"/>
          <w:sz w:val="24"/>
          <w:szCs w:val="24"/>
          <w:lang w:val="es-ES"/>
        </w:rPr>
        <w:t xml:space="preserve"> refirió que de conformidad a lo establecido en los artículos 53 fracción VII y 91 </w:t>
      </w:r>
      <w:r w:rsidR="000A0EA9">
        <w:rPr>
          <w:rFonts w:ascii="Palatino Linotype" w:hAnsi="Palatino Linotype" w:cs="Arial"/>
          <w:sz w:val="24"/>
          <w:szCs w:val="24"/>
          <w:lang w:val="es-ES"/>
        </w:rPr>
        <w:t>fracción</w:t>
      </w:r>
      <w:r w:rsidR="00F813CC">
        <w:rPr>
          <w:rFonts w:ascii="Palatino Linotype" w:hAnsi="Palatino Linotype" w:cs="Arial"/>
          <w:sz w:val="24"/>
          <w:szCs w:val="24"/>
          <w:lang w:val="es-ES"/>
        </w:rPr>
        <w:t xml:space="preserve"> XI de la Ley </w:t>
      </w:r>
      <w:r w:rsidR="000A0EA9">
        <w:rPr>
          <w:rFonts w:ascii="Palatino Linotype" w:hAnsi="Palatino Linotype" w:cs="Arial"/>
          <w:sz w:val="24"/>
          <w:szCs w:val="24"/>
          <w:lang w:val="es-ES"/>
        </w:rPr>
        <w:t>Orgánica</w:t>
      </w:r>
      <w:r w:rsidR="00F813CC">
        <w:rPr>
          <w:rFonts w:ascii="Palatino Linotype" w:hAnsi="Palatino Linotype" w:cs="Arial"/>
          <w:sz w:val="24"/>
          <w:szCs w:val="24"/>
          <w:lang w:val="es-ES"/>
        </w:rPr>
        <w:t xml:space="preserve"> Municipal del Estado de </w:t>
      </w:r>
      <w:r w:rsidR="000A0EA9">
        <w:rPr>
          <w:rFonts w:ascii="Palatino Linotype" w:hAnsi="Palatino Linotype" w:cs="Arial"/>
          <w:sz w:val="24"/>
          <w:szCs w:val="24"/>
          <w:lang w:val="es-ES"/>
        </w:rPr>
        <w:t>México</w:t>
      </w:r>
      <w:r w:rsidR="00F813CC">
        <w:rPr>
          <w:rFonts w:ascii="Palatino Linotype" w:hAnsi="Palatino Linotype" w:cs="Arial"/>
          <w:sz w:val="24"/>
          <w:szCs w:val="24"/>
          <w:lang w:val="es-ES"/>
        </w:rPr>
        <w:t xml:space="preserve"> no es competente para proporcionar la información </w:t>
      </w:r>
      <w:r w:rsidR="000A0EA9">
        <w:rPr>
          <w:rFonts w:ascii="Palatino Linotype" w:hAnsi="Palatino Linotype" w:cs="Arial"/>
          <w:sz w:val="24"/>
          <w:szCs w:val="24"/>
          <w:lang w:val="es-ES"/>
        </w:rPr>
        <w:t xml:space="preserve">solicitada, es importante agregar que adjuntó </w:t>
      </w:r>
      <w:r w:rsidR="00F813CC" w:rsidRPr="00F813CC">
        <w:rPr>
          <w:rFonts w:ascii="Palatino Linotype" w:hAnsi="Palatino Linotype" w:cs="Arial"/>
          <w:sz w:val="24"/>
          <w:szCs w:val="24"/>
          <w:lang w:val="es-ES_tradnl"/>
        </w:rPr>
        <w:t xml:space="preserve">los archivos electrónicos siguientes: </w:t>
      </w:r>
    </w:p>
    <w:p w:rsidR="00F813CC" w:rsidRPr="00F813CC" w:rsidRDefault="00F813CC" w:rsidP="00F813CC">
      <w:pPr>
        <w:spacing w:before="120" w:after="120" w:line="360" w:lineRule="auto"/>
        <w:jc w:val="both"/>
        <w:rPr>
          <w:rFonts w:ascii="Palatino Linotype" w:hAnsi="Palatino Linotype" w:cs="Arial"/>
          <w:sz w:val="24"/>
          <w:szCs w:val="24"/>
          <w:lang w:val="es-ES_tradnl"/>
        </w:rPr>
      </w:pPr>
    </w:p>
    <w:p w:rsidR="000A0EA9" w:rsidRPr="00D95F46" w:rsidRDefault="00F813CC" w:rsidP="00F813CC">
      <w:pPr>
        <w:numPr>
          <w:ilvl w:val="0"/>
          <w:numId w:val="9"/>
        </w:numPr>
        <w:spacing w:before="120" w:after="120" w:line="360" w:lineRule="auto"/>
        <w:jc w:val="both"/>
        <w:rPr>
          <w:rFonts w:ascii="Palatino Linotype" w:hAnsi="Palatino Linotype" w:cs="Arial"/>
          <w:i/>
          <w:lang w:val="es-ES_tradnl"/>
        </w:rPr>
      </w:pPr>
      <w:r w:rsidRPr="00D95F46">
        <w:rPr>
          <w:rFonts w:ascii="Palatino Linotype" w:hAnsi="Palatino Linotype" w:cs="Arial"/>
          <w:b/>
          <w:i/>
          <w:lang w:val="es-ES_tradnl"/>
        </w:rPr>
        <w:t xml:space="preserve">Contestación 000101.pdf: </w:t>
      </w:r>
      <w:r w:rsidRPr="00D95F46">
        <w:rPr>
          <w:rFonts w:ascii="Palatino Linotype" w:hAnsi="Palatino Linotype" w:cs="Arial"/>
          <w:lang w:val="es-ES_tradnl"/>
        </w:rPr>
        <w:t>Oficio número PM/DGDU/258/2018 de fecha catorce (14) de junio de dos mil dieciocho en el que el Director General de Desarrollo Urbano manifiesta que “</w:t>
      </w:r>
      <w:r w:rsidRPr="00D95F46">
        <w:rPr>
          <w:rFonts w:ascii="Palatino Linotype" w:hAnsi="Palatino Linotype" w:cs="Arial"/>
          <w:i/>
          <w:lang w:val="es-ES_tradnl"/>
        </w:rPr>
        <w:t>es facultad de la Sindicatura y,de la Secretaría del Ayuntamiento de Chimalhuacán, Estado de México, llevar a cabo la formulación del inventario general de los bienes muebles e inmuebles propiedad del municipio; motivo por el cual, esta Dirección General de Desarrollo Urbano, no es competente para brindar la información solicitada.”</w:t>
      </w:r>
    </w:p>
    <w:p w:rsidR="00FA32E0" w:rsidRPr="00D95F46" w:rsidRDefault="00F813CC" w:rsidP="00F813CC">
      <w:pPr>
        <w:numPr>
          <w:ilvl w:val="0"/>
          <w:numId w:val="9"/>
        </w:numPr>
        <w:spacing w:before="120" w:after="120" w:line="360" w:lineRule="auto"/>
        <w:jc w:val="both"/>
        <w:rPr>
          <w:rFonts w:ascii="Palatino Linotype" w:hAnsi="Palatino Linotype" w:cs="Arial"/>
          <w:i/>
          <w:lang w:val="es-ES_tradnl"/>
        </w:rPr>
      </w:pPr>
      <w:r w:rsidRPr="00D95F46">
        <w:rPr>
          <w:rFonts w:ascii="Palatino Linotype" w:hAnsi="Palatino Linotype" w:cs="Arial"/>
          <w:b/>
          <w:i/>
          <w:lang w:val="es-ES_tradnl"/>
        </w:rPr>
        <w:t xml:space="preserve">RESPUESTA AL C. </w:t>
      </w:r>
      <w:r w:rsidR="00DA0011">
        <w:rPr>
          <w:rFonts w:ascii="Palatino Linotype" w:hAnsi="Palatino Linotype" w:cs="Arial"/>
          <w:b/>
          <w:i/>
          <w:lang w:val="es-ES_tradnl"/>
        </w:rPr>
        <w:t>XXXXXXXXXXXX</w:t>
      </w:r>
      <w:r w:rsidRPr="00D95F46">
        <w:rPr>
          <w:rFonts w:ascii="Palatino Linotype" w:hAnsi="Palatino Linotype" w:cs="Arial"/>
          <w:b/>
          <w:i/>
          <w:lang w:val="es-ES_tradnl"/>
        </w:rPr>
        <w:t xml:space="preserve">..docx </w:t>
      </w:r>
      <w:r w:rsidRPr="00D95F46">
        <w:rPr>
          <w:rFonts w:ascii="Palatino Linotype" w:hAnsi="Palatino Linotype" w:cs="Arial"/>
          <w:lang w:val="es-ES_tradnl"/>
        </w:rPr>
        <w:t xml:space="preserve">Documento en el que el </w:t>
      </w:r>
      <w:r w:rsidRPr="00D95F46">
        <w:rPr>
          <w:rFonts w:ascii="Palatino Linotype" w:hAnsi="Palatino Linotype" w:cs="Arial"/>
          <w:b/>
          <w:lang w:val="es-ES_tradnl"/>
        </w:rPr>
        <w:t xml:space="preserve">SUJETO OBLIGADO </w:t>
      </w:r>
      <w:r w:rsidRPr="00D95F46">
        <w:rPr>
          <w:rFonts w:ascii="Palatino Linotype" w:hAnsi="Palatino Linotype" w:cs="Arial"/>
          <w:lang w:val="es-ES_tradnl"/>
        </w:rPr>
        <w:t>manifiesta en términos generales que corresponde a los Síndicos del Municipio el inventario general de los bienes muebles o inmuebles, haciendo que se inscriban en un libro especial, con expresión de sus valores y de todas las características de identificación, así como el uso y destino de los mismos.</w:t>
      </w:r>
    </w:p>
    <w:p w:rsidR="00003415" w:rsidRDefault="005E6134" w:rsidP="004D5A8F">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sidRPr="00B51880">
        <w:rPr>
          <w:rFonts w:ascii="Palatino Linotype" w:hAnsi="Palatino Linotype" w:cs="Arial"/>
          <w:sz w:val="24"/>
          <w:szCs w:val="24"/>
          <w:lang w:val="es-ES_tradnl"/>
        </w:rPr>
        <w:t>,</w:t>
      </w:r>
      <w:r w:rsidR="00C84509">
        <w:rPr>
          <w:rFonts w:ascii="Palatino Linotype" w:hAnsi="Palatino Linotype" w:cs="Arial"/>
          <w:sz w:val="24"/>
          <w:szCs w:val="24"/>
          <w:lang w:val="es-ES_tradnl"/>
        </w:rPr>
        <w:t xml:space="preserve"> el </w:t>
      </w:r>
      <w:r w:rsidR="00054A97">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sidR="00434A13">
        <w:rPr>
          <w:rFonts w:ascii="Palatino Linotype" w:hAnsi="Palatino Linotype" w:cs="Arial"/>
          <w:sz w:val="24"/>
          <w:szCs w:val="24"/>
          <w:lang w:val="es-ES_tradnl"/>
        </w:rPr>
        <w:t xml:space="preserve">erpuso </w:t>
      </w:r>
      <w:r w:rsidR="005702E5">
        <w:rPr>
          <w:rFonts w:ascii="Palatino Linotype" w:hAnsi="Palatino Linotype" w:cs="Arial"/>
          <w:sz w:val="24"/>
          <w:szCs w:val="24"/>
          <w:lang w:val="es-ES_tradnl"/>
        </w:rPr>
        <w:t xml:space="preserve">el </w:t>
      </w:r>
      <w:r w:rsidR="00943ECF">
        <w:rPr>
          <w:rFonts w:ascii="Palatino Linotype" w:hAnsi="Palatino Linotype" w:cs="Arial"/>
          <w:sz w:val="24"/>
          <w:szCs w:val="24"/>
          <w:lang w:val="es-ES_tradnl"/>
        </w:rPr>
        <w:t>medio de impugnación</w:t>
      </w:r>
      <w:r w:rsidR="00434A13">
        <w:rPr>
          <w:rFonts w:ascii="Palatino Linotype" w:hAnsi="Palatino Linotype" w:cs="Arial"/>
          <w:sz w:val="24"/>
          <w:szCs w:val="24"/>
          <w:lang w:val="es-ES_tradnl"/>
        </w:rPr>
        <w:t xml:space="preserve"> </w:t>
      </w:r>
      <w:r w:rsidRPr="00B51880">
        <w:rPr>
          <w:rFonts w:ascii="Palatino Linotype" w:hAnsi="Palatino Linotype" w:cs="Arial"/>
          <w:sz w:val="24"/>
          <w:szCs w:val="24"/>
          <w:lang w:val="es-ES_tradnl"/>
        </w:rPr>
        <w:t xml:space="preserve">materia de análisis, en </w:t>
      </w:r>
      <w:r w:rsidR="005702E5">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que p</w:t>
      </w:r>
      <w:r w:rsidR="009D3F5D" w:rsidRPr="00B51880">
        <w:rPr>
          <w:rFonts w:ascii="Palatino Linotype" w:hAnsi="Palatino Linotype" w:cs="Arial"/>
          <w:sz w:val="24"/>
          <w:szCs w:val="24"/>
          <w:lang w:val="es-ES_tradnl"/>
        </w:rPr>
        <w:t xml:space="preserve">recisó </w:t>
      </w:r>
      <w:r w:rsidR="00BB1B83">
        <w:rPr>
          <w:rFonts w:ascii="Palatino Linotype" w:hAnsi="Palatino Linotype" w:cs="Arial"/>
          <w:sz w:val="24"/>
          <w:szCs w:val="24"/>
          <w:lang w:val="es-ES_tradnl"/>
        </w:rPr>
        <w:t xml:space="preserve">como </w:t>
      </w:r>
      <w:r w:rsidR="00003415" w:rsidRPr="00C21974">
        <w:rPr>
          <w:rFonts w:ascii="Palatino Linotype" w:hAnsi="Palatino Linotype" w:cs="Arial"/>
          <w:b/>
          <w:sz w:val="24"/>
          <w:szCs w:val="24"/>
          <w:lang w:val="es-ES_tradnl"/>
        </w:rPr>
        <w:t>acto impugnado</w:t>
      </w:r>
      <w:r w:rsidR="00C21974">
        <w:rPr>
          <w:rFonts w:ascii="Palatino Linotype" w:hAnsi="Palatino Linotype" w:cs="Arial"/>
          <w:b/>
          <w:sz w:val="24"/>
          <w:szCs w:val="24"/>
          <w:lang w:val="es-ES_tradnl"/>
        </w:rPr>
        <w:t xml:space="preserve"> </w:t>
      </w:r>
      <w:r w:rsidR="00C21974" w:rsidRPr="009C4D4A">
        <w:rPr>
          <w:rFonts w:ascii="Palatino Linotype" w:hAnsi="Palatino Linotype" w:cs="Arial"/>
          <w:i/>
          <w:sz w:val="24"/>
          <w:szCs w:val="24"/>
          <w:lang w:val="es-ES_tradnl"/>
        </w:rPr>
        <w:t>“</w:t>
      </w:r>
      <w:r w:rsidR="000A0EA9" w:rsidRPr="000A0EA9">
        <w:rPr>
          <w:rFonts w:ascii="Palatino Linotype" w:hAnsi="Palatino Linotype" w:cs="Arial"/>
          <w:i/>
          <w:sz w:val="24"/>
          <w:szCs w:val="24"/>
          <w:lang w:val="es-ES"/>
        </w:rPr>
        <w:t xml:space="preserve">He solicitado una lista detallada de todos los terrenos y bienes inmuebles que ha recibido el municipio de Chimalhuacán –desde 1998 a la </w:t>
      </w:r>
      <w:r w:rsidR="000A0EA9" w:rsidRPr="000A0EA9">
        <w:rPr>
          <w:rFonts w:ascii="Palatino Linotype" w:hAnsi="Palatino Linotype" w:cs="Arial"/>
          <w:i/>
          <w:sz w:val="24"/>
          <w:szCs w:val="24"/>
          <w:lang w:val="es-ES"/>
        </w:rPr>
        <w:lastRenderedPageBreak/>
        <w:t>fecha– como donación, usufructo, compra/venta, traspaso y/o cesión de derechos, etcétera. Indiquen fecha (día, mes y año), valor catastral (del año de la transacción), tipo de bien, tipo de transacción, ubicación exacta, uso anterior y uso actual de dichos terrenos y bienes inmuebles. Recibo como respuesta que "esta dependencia no tiene la relación de los predios que usted señala, pues corresponde a los Síndicos del Municipio, el inventario general de los bienes muebles e inmuebles propiedad del Municipio, haciendo que se inscriban en el libro especial, con expresión de sus valores y de todas las características de identificación, así como el uso y destino de los mismos</w:t>
      </w:r>
      <w:r w:rsidR="00C21974" w:rsidRPr="009C4D4A">
        <w:rPr>
          <w:rFonts w:ascii="Palatino Linotype" w:hAnsi="Palatino Linotype" w:cs="Arial"/>
          <w:i/>
          <w:sz w:val="24"/>
          <w:szCs w:val="24"/>
          <w:lang w:val="es-ES_tradnl"/>
        </w:rPr>
        <w:t>”</w:t>
      </w:r>
      <w:r w:rsidR="00003415">
        <w:rPr>
          <w:rFonts w:ascii="Palatino Linotype" w:hAnsi="Palatino Linotype" w:cs="Arial"/>
          <w:sz w:val="24"/>
          <w:szCs w:val="24"/>
          <w:lang w:val="es-ES_tradnl"/>
        </w:rPr>
        <w:t xml:space="preserve"> y como </w:t>
      </w:r>
      <w:r w:rsidR="00003415" w:rsidRPr="00587E6C">
        <w:rPr>
          <w:rFonts w:ascii="Palatino Linotype" w:hAnsi="Palatino Linotype" w:cs="Arial"/>
          <w:b/>
          <w:sz w:val="24"/>
          <w:szCs w:val="24"/>
          <w:lang w:val="es-ES_tradnl"/>
        </w:rPr>
        <w:t>motivos de inconformidad</w:t>
      </w:r>
      <w:r w:rsidR="00003415">
        <w:rPr>
          <w:rFonts w:ascii="Palatino Linotype" w:hAnsi="Palatino Linotype" w:cs="Arial"/>
          <w:sz w:val="24"/>
          <w:szCs w:val="24"/>
          <w:lang w:val="es-ES_tradnl"/>
        </w:rPr>
        <w:t xml:space="preserve"> arguyó que </w:t>
      </w:r>
      <w:r w:rsidR="00587E6C" w:rsidRPr="009C4D4A">
        <w:rPr>
          <w:rFonts w:ascii="Palatino Linotype" w:hAnsi="Palatino Linotype" w:cs="Arial"/>
          <w:i/>
          <w:sz w:val="24"/>
          <w:szCs w:val="24"/>
          <w:lang w:val="es-ES_tradnl"/>
        </w:rPr>
        <w:t>“</w:t>
      </w:r>
      <w:r w:rsidR="004B6E4B" w:rsidRPr="004B6E4B">
        <w:rPr>
          <w:rFonts w:ascii="Palatino Linotype" w:hAnsi="Palatino Linotype" w:cs="Arial"/>
          <w:i/>
          <w:sz w:val="24"/>
          <w:szCs w:val="24"/>
          <w:lang w:val="es-ES_tradnl"/>
        </w:rPr>
        <w:t>Los síndicos que mencionan en s</w:t>
      </w:r>
      <w:r w:rsidR="004B6E4B">
        <w:rPr>
          <w:rFonts w:ascii="Palatino Linotype" w:hAnsi="Palatino Linotype" w:cs="Arial"/>
          <w:i/>
          <w:sz w:val="24"/>
          <w:szCs w:val="24"/>
          <w:lang w:val="es-ES_tradnl"/>
        </w:rPr>
        <w:t>u respuesta son funcionarios pú</w:t>
      </w:r>
      <w:r w:rsidR="004B6E4B" w:rsidRPr="004B6E4B">
        <w:rPr>
          <w:rFonts w:ascii="Palatino Linotype" w:hAnsi="Palatino Linotype" w:cs="Arial"/>
          <w:i/>
          <w:sz w:val="24"/>
          <w:szCs w:val="24"/>
          <w:lang w:val="es-ES_tradnl"/>
        </w:rPr>
        <w:t>blicos, miembros del "honorable cabildo" de Chimalhuacán. Por lo mismo, es al mismo municipio al que le corresponde proporcionar la información que se le está solicitando. Pido por lo mismo que se proporcione la información que se solicita</w:t>
      </w:r>
      <w:r w:rsidR="00587E6C" w:rsidRPr="009C4D4A">
        <w:rPr>
          <w:rFonts w:ascii="Palatino Linotype" w:hAnsi="Palatino Linotype" w:cs="Arial"/>
          <w:i/>
          <w:sz w:val="24"/>
          <w:szCs w:val="24"/>
          <w:lang w:val="es-ES_tradnl"/>
        </w:rPr>
        <w:t>”</w:t>
      </w:r>
      <w:r w:rsidR="00003415">
        <w:rPr>
          <w:rFonts w:ascii="Palatino Linotype" w:hAnsi="Palatino Linotype" w:cs="Arial"/>
          <w:sz w:val="24"/>
          <w:szCs w:val="24"/>
          <w:lang w:val="es-ES_tradnl"/>
        </w:rPr>
        <w:t xml:space="preserve">.    </w:t>
      </w:r>
    </w:p>
    <w:p w:rsidR="00D95F46" w:rsidRDefault="00D95F46" w:rsidP="005A18DD">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lo que una vez sustanciado el medio de impugnación al rubro indicado</w:t>
      </w:r>
      <w:r w:rsidR="00170FF9" w:rsidRPr="007E23B2">
        <w:rPr>
          <w:rFonts w:ascii="Palatino Linotype" w:hAnsi="Palatino Linotype" w:cs="Arial"/>
          <w:sz w:val="24"/>
          <w:szCs w:val="24"/>
          <w:lang w:val="es-ES_tradnl"/>
        </w:rPr>
        <w:t xml:space="preserve">, la Ponencia resolvió </w:t>
      </w:r>
      <w:r w:rsidR="004B6E4B">
        <w:rPr>
          <w:rFonts w:ascii="Palatino Linotype" w:hAnsi="Palatino Linotype" w:cs="Arial"/>
          <w:b/>
          <w:sz w:val="24"/>
          <w:szCs w:val="24"/>
          <w:lang w:val="es-ES_tradnl"/>
        </w:rPr>
        <w:t>revo</w:t>
      </w:r>
      <w:r w:rsidR="0055015B" w:rsidRPr="007E23B2">
        <w:rPr>
          <w:rFonts w:ascii="Palatino Linotype" w:hAnsi="Palatino Linotype" w:cs="Arial"/>
          <w:b/>
          <w:sz w:val="24"/>
          <w:szCs w:val="24"/>
          <w:lang w:val="es-ES_tradnl"/>
        </w:rPr>
        <w:t>car</w:t>
      </w:r>
      <w:r w:rsidR="0055015B" w:rsidRPr="007E23B2">
        <w:rPr>
          <w:rFonts w:ascii="Palatino Linotype" w:hAnsi="Palatino Linotype" w:cs="Arial"/>
          <w:sz w:val="24"/>
          <w:szCs w:val="24"/>
          <w:lang w:val="es-ES_tradnl"/>
        </w:rPr>
        <w:t xml:space="preserve"> </w:t>
      </w:r>
      <w:r w:rsidR="00170FF9" w:rsidRPr="007E23B2">
        <w:rPr>
          <w:rFonts w:ascii="Palatino Linotype" w:hAnsi="Palatino Linotype" w:cs="Arial"/>
          <w:sz w:val="24"/>
          <w:szCs w:val="24"/>
          <w:lang w:val="es-ES_tradnl"/>
        </w:rPr>
        <w:t>la respues</w:t>
      </w:r>
      <w:r w:rsidR="007046AB" w:rsidRPr="007E23B2">
        <w:rPr>
          <w:rFonts w:ascii="Palatino Linotype" w:hAnsi="Palatino Linotype" w:cs="Arial"/>
          <w:sz w:val="24"/>
          <w:szCs w:val="24"/>
          <w:lang w:val="es-ES_tradnl"/>
        </w:rPr>
        <w:t>ta del Sujeto Obligado y orden</w:t>
      </w:r>
      <w:r w:rsidR="0055015B" w:rsidRPr="007E23B2">
        <w:rPr>
          <w:rFonts w:ascii="Palatino Linotype" w:hAnsi="Palatino Linotype" w:cs="Arial"/>
          <w:sz w:val="24"/>
          <w:szCs w:val="24"/>
          <w:lang w:val="es-ES_tradnl"/>
        </w:rPr>
        <w:t xml:space="preserve">ó </w:t>
      </w:r>
      <w:r w:rsidR="007E23B2">
        <w:rPr>
          <w:rFonts w:ascii="Palatino Linotype" w:hAnsi="Palatino Linotype" w:cs="Arial"/>
          <w:sz w:val="24"/>
          <w:szCs w:val="24"/>
          <w:lang w:val="es-ES_tradnl"/>
        </w:rPr>
        <w:t xml:space="preserve">en su resolutivo SEGUNDO, </w:t>
      </w:r>
      <w:r w:rsidR="0055015B" w:rsidRPr="007E23B2">
        <w:rPr>
          <w:rFonts w:ascii="Palatino Linotype" w:hAnsi="Palatino Linotype" w:cs="Arial"/>
          <w:sz w:val="24"/>
          <w:szCs w:val="24"/>
          <w:lang w:val="es-ES_tradnl"/>
        </w:rPr>
        <w:t>entregar vía el SAIMEX, la versión pública de los documentos en donde conste</w:t>
      </w:r>
      <w:r>
        <w:rPr>
          <w:rFonts w:ascii="Palatino Linotype" w:hAnsi="Palatino Linotype" w:cs="Arial"/>
          <w:sz w:val="24"/>
          <w:szCs w:val="24"/>
          <w:lang w:val="es-ES_tradnl"/>
        </w:rPr>
        <w:t xml:space="preserve"> entre otras cosas</w:t>
      </w:r>
      <w:r w:rsidR="0055015B" w:rsidRPr="007E23B2">
        <w:rPr>
          <w:rFonts w:ascii="Palatino Linotype" w:hAnsi="Palatino Linotype" w:cs="Arial"/>
          <w:sz w:val="24"/>
          <w:szCs w:val="24"/>
          <w:lang w:val="es-ES_tradnl"/>
        </w:rPr>
        <w:t>:</w:t>
      </w:r>
    </w:p>
    <w:p w:rsidR="004B6E4B" w:rsidRPr="00D95F46" w:rsidRDefault="00D95F46" w:rsidP="00D95F46">
      <w:pPr>
        <w:spacing w:after="0" w:line="240" w:lineRule="auto"/>
        <w:ind w:left="851" w:right="851"/>
        <w:jc w:val="both"/>
        <w:rPr>
          <w:rFonts w:ascii="Palatino Linotype" w:hAnsi="Palatino Linotype" w:cs="Arial"/>
          <w:i/>
          <w:sz w:val="24"/>
          <w:szCs w:val="24"/>
          <w:lang w:val="es-ES_tradnl"/>
        </w:rPr>
      </w:pPr>
      <w:r w:rsidRPr="00D95F46">
        <w:rPr>
          <w:rFonts w:ascii="Palatino Linotype" w:hAnsi="Palatino Linotype" w:cs="Arial"/>
          <w:i/>
          <w:sz w:val="24"/>
          <w:szCs w:val="24"/>
          <w:lang w:val="es-ES_tradnl"/>
        </w:rPr>
        <w:t>“…</w:t>
      </w:r>
      <w:r w:rsidR="0055015B" w:rsidRPr="00D95F46">
        <w:rPr>
          <w:rFonts w:ascii="Palatino Linotype" w:hAnsi="Palatino Linotype" w:cs="Arial"/>
          <w:i/>
          <w:sz w:val="24"/>
          <w:szCs w:val="24"/>
          <w:lang w:val="es-ES_tradnl"/>
        </w:rPr>
        <w:t xml:space="preserve"> </w:t>
      </w:r>
    </w:p>
    <w:p w:rsidR="004B6E4B" w:rsidRPr="00D95F46" w:rsidRDefault="00D95F46" w:rsidP="00D95F46">
      <w:pPr>
        <w:pStyle w:val="Prrafodelista"/>
        <w:numPr>
          <w:ilvl w:val="0"/>
          <w:numId w:val="11"/>
        </w:numPr>
        <w:ind w:left="851" w:right="851"/>
        <w:jc w:val="both"/>
        <w:rPr>
          <w:rFonts w:ascii="Palatino Linotype" w:hAnsi="Palatino Linotype" w:cs="Arial"/>
          <w:i/>
        </w:rPr>
      </w:pPr>
      <w:r w:rsidRPr="00D95F46">
        <w:rPr>
          <w:rFonts w:ascii="Palatino Linotype" w:hAnsi="Palatino Linotype" w:cs="Arial"/>
          <w:i/>
        </w:rPr>
        <w:t>Los</w:t>
      </w:r>
      <w:r w:rsidR="004B6E4B" w:rsidRPr="00D95F46">
        <w:rPr>
          <w:rFonts w:ascii="Palatino Linotype" w:hAnsi="Palatino Linotype" w:cs="Arial"/>
          <w:i/>
        </w:rPr>
        <w:t xml:space="preserve"> Inventarios de Bienes Inmuebles del municipio de Chimalhuacán del periodo comprendido del uno (1) de enero de mil novecientos noventa y ocho al treinta y uno (31) de diciembre del año dos mil nueve.</w:t>
      </w:r>
    </w:p>
    <w:p w:rsidR="007E23B2" w:rsidRDefault="007E23B2" w:rsidP="005A18DD">
      <w:pPr>
        <w:spacing w:before="120" w:line="360" w:lineRule="auto"/>
        <w:jc w:val="both"/>
        <w:rPr>
          <w:rFonts w:ascii="Palatino Linotype" w:hAnsi="Palatino Linotype" w:cs="Arial"/>
          <w:sz w:val="24"/>
          <w:szCs w:val="24"/>
        </w:rPr>
      </w:pPr>
      <w:r>
        <w:rPr>
          <w:rFonts w:ascii="Palatino Linotype" w:hAnsi="Palatino Linotype" w:cs="Arial"/>
          <w:sz w:val="24"/>
          <w:szCs w:val="24"/>
        </w:rPr>
        <w:t xml:space="preserve">Determinación con la que el suscrito está de acuerdo, no obstante, </w:t>
      </w:r>
      <w:r w:rsidR="00FC6983">
        <w:rPr>
          <w:rFonts w:ascii="Palatino Linotype" w:hAnsi="Palatino Linotype" w:cs="Arial"/>
          <w:sz w:val="24"/>
          <w:szCs w:val="24"/>
        </w:rPr>
        <w:t xml:space="preserve">se agregó al citado resolutivo </w:t>
      </w:r>
      <w:r w:rsidR="004B6E4B">
        <w:rPr>
          <w:rFonts w:ascii="Palatino Linotype" w:hAnsi="Palatino Linotype" w:cs="Arial"/>
          <w:sz w:val="24"/>
          <w:szCs w:val="24"/>
        </w:rPr>
        <w:t xml:space="preserve">respecto al inciso b) </w:t>
      </w:r>
      <w:r w:rsidR="00FC6983">
        <w:rPr>
          <w:rFonts w:ascii="Palatino Linotype" w:hAnsi="Palatino Linotype" w:cs="Arial"/>
          <w:sz w:val="24"/>
          <w:szCs w:val="24"/>
        </w:rPr>
        <w:t>la siguiente salvedad:</w:t>
      </w:r>
    </w:p>
    <w:p w:rsidR="007E23B2" w:rsidRPr="007749DE" w:rsidRDefault="00FC6983" w:rsidP="007749DE">
      <w:pPr>
        <w:spacing w:after="0" w:line="240" w:lineRule="auto"/>
        <w:ind w:left="567" w:right="561"/>
        <w:jc w:val="both"/>
        <w:rPr>
          <w:rFonts w:ascii="Palatino Linotype" w:eastAsia="Times New Roman" w:hAnsi="Palatino Linotype" w:cs="Arial"/>
          <w:i/>
          <w:sz w:val="24"/>
          <w:szCs w:val="24"/>
          <w:lang w:val="es-ES_tradnl" w:eastAsia="es-ES"/>
        </w:rPr>
      </w:pPr>
      <w:r>
        <w:rPr>
          <w:rFonts w:ascii="Palatino Linotype" w:eastAsia="Times New Roman" w:hAnsi="Palatino Linotype" w:cs="Arial"/>
          <w:i/>
          <w:sz w:val="24"/>
          <w:szCs w:val="24"/>
          <w:lang w:val="es-ES" w:eastAsia="es-ES"/>
        </w:rPr>
        <w:lastRenderedPageBreak/>
        <w:t>“</w:t>
      </w:r>
      <w:r w:rsidR="007749DE" w:rsidRPr="007749DE">
        <w:rPr>
          <w:rFonts w:ascii="Palatino Linotype" w:eastAsia="Times New Roman" w:hAnsi="Palatino Linotype" w:cs="Arial"/>
          <w:i/>
          <w:sz w:val="24"/>
          <w:szCs w:val="24"/>
          <w:lang w:val="es-ES_tradnl" w:eastAsia="es-ES"/>
        </w:rPr>
        <w:t xml:space="preserve">Para el caso de no localizar la información señalada en el </w:t>
      </w:r>
      <w:r w:rsidR="007749DE" w:rsidRPr="007749DE">
        <w:rPr>
          <w:rFonts w:ascii="Palatino Linotype" w:eastAsia="Times New Roman" w:hAnsi="Palatino Linotype" w:cs="Arial"/>
          <w:b/>
          <w:i/>
          <w:sz w:val="24"/>
          <w:szCs w:val="24"/>
          <w:lang w:val="es-ES_tradnl" w:eastAsia="es-ES"/>
        </w:rPr>
        <w:t>inciso b),</w:t>
      </w:r>
      <w:r w:rsidR="007749DE" w:rsidRPr="007749DE">
        <w:rPr>
          <w:rFonts w:ascii="Palatino Linotype" w:eastAsia="Times New Roman" w:hAnsi="Palatino Linotype" w:cs="Arial"/>
          <w:i/>
          <w:sz w:val="24"/>
          <w:szCs w:val="24"/>
          <w:lang w:val="es-ES_tradnl" w:eastAsia="es-ES"/>
        </w:rPr>
        <w:t xml:space="preserve"> deberá ser entregado el documento en donde conste la Baja Documental correspondiente.</w:t>
      </w:r>
      <w:r>
        <w:rPr>
          <w:rFonts w:ascii="Palatino Linotype" w:eastAsia="Times New Roman" w:hAnsi="Palatino Linotype" w:cs="Arial"/>
          <w:i/>
          <w:sz w:val="24"/>
          <w:szCs w:val="24"/>
          <w:lang w:val="es-ES" w:eastAsia="es-ES"/>
        </w:rPr>
        <w:t>”</w:t>
      </w:r>
    </w:p>
    <w:p w:rsidR="00FC6983" w:rsidRPr="00FC6983" w:rsidRDefault="00FC6983" w:rsidP="00FC6983">
      <w:pPr>
        <w:spacing w:before="240" w:after="240" w:line="360" w:lineRule="auto"/>
        <w:jc w:val="both"/>
        <w:rPr>
          <w:rFonts w:ascii="Palatino Linotype" w:hAnsi="Palatino Linotype"/>
          <w:sz w:val="24"/>
          <w:szCs w:val="24"/>
        </w:rPr>
      </w:pPr>
      <w:r w:rsidRPr="007749DE">
        <w:rPr>
          <w:b/>
          <w:noProof/>
          <w:color w:val="FF0000"/>
          <w:sz w:val="24"/>
          <w:szCs w:val="24"/>
          <w:highlight w:val="yellow"/>
          <w:lang w:eastAsia="es-MX"/>
        </w:rPr>
        <mc:AlternateContent>
          <mc:Choice Requires="wps">
            <w:drawing>
              <wp:anchor distT="0" distB="0" distL="114300" distR="114300" simplePos="0" relativeHeight="251660288" behindDoc="1" locked="0" layoutInCell="0" allowOverlap="1" wp14:anchorId="0C9D2844" wp14:editId="041E6537">
                <wp:simplePos x="0" y="0"/>
                <wp:positionH relativeFrom="margin">
                  <wp:align>center</wp:align>
                </wp:positionH>
                <wp:positionV relativeFrom="page">
                  <wp:align>center</wp:align>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9D2844" id="_x0000_t202" coordsize="21600,21600" o:spt="202" path="m,l,21600r21600,l21600,xe">
                <v:stroke joinstyle="miter"/>
                <v:path gradientshapeok="t" o:connecttype="rect"/>
              </v:shapetype>
              <v:shape id="Cuadro de texto 3" o:spid="_x0000_s1026" type="#_x0000_t202" style="position:absolute;left:0;text-align:left;margin-left:0;margin-top:0;width:558.45pt;height:64.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page"/>
              </v:shape>
            </w:pict>
          </mc:Fallback>
        </mc:AlternateContent>
      </w:r>
      <w:r w:rsidRPr="007749DE">
        <w:rPr>
          <w:rFonts w:ascii="Palatino Linotype" w:hAnsi="Palatino Linotype"/>
          <w:color w:val="FF0000"/>
          <w:sz w:val="24"/>
          <w:szCs w:val="24"/>
          <w:highlight w:val="yellow"/>
        </w:rPr>
        <w:t>Al respecto, es pertinente resaltar que la Ley de Transparencia y Acceso a la Información Pública vigente en la entidad, de ninguna forma contempla la entrega de una baja documental</w:t>
      </w:r>
      <w:r w:rsidR="00455B7D" w:rsidRPr="007749DE">
        <w:rPr>
          <w:rFonts w:ascii="Palatino Linotype" w:hAnsi="Palatino Linotype"/>
          <w:color w:val="FF0000"/>
          <w:sz w:val="24"/>
          <w:szCs w:val="24"/>
          <w:highlight w:val="yellow"/>
        </w:rPr>
        <w:t xml:space="preserve"> como lo ordenó la Ponencia resolutora</w:t>
      </w:r>
      <w:r w:rsidRPr="007749DE">
        <w:rPr>
          <w:rFonts w:ascii="Palatino Linotype" w:hAnsi="Palatino Linotype"/>
          <w:color w:val="FF0000"/>
          <w:sz w:val="24"/>
          <w:szCs w:val="24"/>
          <w:highlight w:val="yellow"/>
        </w:rPr>
        <w:t xml:space="preserve">, </w:t>
      </w:r>
      <w:r w:rsidR="00455B7D" w:rsidRPr="007749DE">
        <w:rPr>
          <w:rFonts w:ascii="Palatino Linotype" w:hAnsi="Palatino Linotype"/>
          <w:color w:val="FF0000"/>
          <w:sz w:val="24"/>
          <w:szCs w:val="24"/>
          <w:highlight w:val="yellow"/>
        </w:rPr>
        <w:t xml:space="preserve">toda vez que en caso de que la </w:t>
      </w:r>
      <w:r w:rsidRPr="007749DE">
        <w:rPr>
          <w:rFonts w:ascii="Palatino Linotype" w:hAnsi="Palatino Linotype"/>
          <w:color w:val="FF0000"/>
          <w:sz w:val="24"/>
          <w:szCs w:val="24"/>
          <w:highlight w:val="yellow"/>
        </w:rPr>
        <w:t xml:space="preserve">información </w:t>
      </w:r>
      <w:r w:rsidR="00455B7D" w:rsidRPr="007749DE">
        <w:rPr>
          <w:rFonts w:ascii="Palatino Linotype" w:hAnsi="Palatino Linotype"/>
          <w:color w:val="FF0000"/>
          <w:sz w:val="24"/>
          <w:szCs w:val="24"/>
          <w:highlight w:val="yellow"/>
        </w:rPr>
        <w:t xml:space="preserve">peticionada </w:t>
      </w:r>
      <w:r w:rsidRPr="007749DE">
        <w:rPr>
          <w:rFonts w:ascii="Palatino Linotype" w:hAnsi="Palatino Linotype"/>
          <w:color w:val="FF0000"/>
          <w:sz w:val="24"/>
          <w:szCs w:val="24"/>
          <w:highlight w:val="yellow"/>
        </w:rPr>
        <w:t xml:space="preserve">no obre en los archivos del Sujeto Obligado, </w:t>
      </w:r>
      <w:r w:rsidR="00455B7D" w:rsidRPr="007749DE">
        <w:rPr>
          <w:rFonts w:ascii="Palatino Linotype" w:hAnsi="Palatino Linotype"/>
          <w:color w:val="FF0000"/>
          <w:sz w:val="24"/>
          <w:szCs w:val="24"/>
          <w:highlight w:val="yellow"/>
        </w:rPr>
        <w:t xml:space="preserve">la Ley </w:t>
      </w:r>
      <w:r w:rsidRPr="007749DE">
        <w:rPr>
          <w:rFonts w:ascii="Palatino Linotype" w:hAnsi="Palatino Linotype"/>
          <w:color w:val="FF0000"/>
          <w:sz w:val="24"/>
          <w:szCs w:val="24"/>
          <w:highlight w:val="yellow"/>
        </w:rPr>
        <w:t>determina que se deberá elaborar una declaratoria de inexistencia</w:t>
      </w:r>
      <w:r w:rsidR="00455B7D" w:rsidRPr="007749DE">
        <w:rPr>
          <w:rFonts w:ascii="Palatino Linotype" w:hAnsi="Palatino Linotype"/>
          <w:color w:val="FF0000"/>
          <w:sz w:val="24"/>
          <w:szCs w:val="24"/>
          <w:highlight w:val="yellow"/>
        </w:rPr>
        <w:t xml:space="preserve">, </w:t>
      </w:r>
      <w:r w:rsidRPr="007749DE">
        <w:rPr>
          <w:rFonts w:ascii="Palatino Linotype" w:hAnsi="Palatino Linotype"/>
          <w:color w:val="FF0000"/>
          <w:sz w:val="24"/>
          <w:szCs w:val="24"/>
          <w:highlight w:val="yellow"/>
        </w:rPr>
        <w:t xml:space="preserve">tal y como se </w:t>
      </w:r>
      <w:r w:rsidR="00455B7D" w:rsidRPr="007749DE">
        <w:rPr>
          <w:rFonts w:ascii="Palatino Linotype" w:hAnsi="Palatino Linotype"/>
          <w:color w:val="FF0000"/>
          <w:sz w:val="24"/>
          <w:szCs w:val="24"/>
          <w:highlight w:val="yellow"/>
        </w:rPr>
        <w:t xml:space="preserve">prevé en </w:t>
      </w:r>
      <w:r w:rsidRPr="007749DE">
        <w:rPr>
          <w:rFonts w:ascii="Palatino Linotype" w:hAnsi="Palatino Linotype"/>
          <w:color w:val="FF0000"/>
          <w:sz w:val="24"/>
          <w:szCs w:val="24"/>
          <w:highlight w:val="yellow"/>
        </w:rPr>
        <w:t>los artículos 19, tercer párrafo, 49, fracciones II y XIII;  169 y 170 de la Ley de Transparencia y Acceso a la Información Pública</w:t>
      </w:r>
      <w:r w:rsidR="00455B7D" w:rsidRPr="007749DE">
        <w:rPr>
          <w:rFonts w:ascii="Palatino Linotype" w:hAnsi="Palatino Linotype"/>
          <w:color w:val="FF0000"/>
          <w:sz w:val="24"/>
          <w:szCs w:val="24"/>
          <w:highlight w:val="yellow"/>
        </w:rPr>
        <w:t xml:space="preserve"> supraindicada, </w:t>
      </w:r>
      <w:r w:rsidRPr="007749DE">
        <w:rPr>
          <w:rFonts w:ascii="Palatino Linotype" w:hAnsi="Palatino Linotype"/>
          <w:color w:val="FF0000"/>
          <w:sz w:val="24"/>
          <w:szCs w:val="24"/>
          <w:highlight w:val="yellow"/>
        </w:rPr>
        <w:t xml:space="preserve">que </w:t>
      </w:r>
      <w:r w:rsidR="00455B7D" w:rsidRPr="007749DE">
        <w:rPr>
          <w:rFonts w:ascii="Palatino Linotype" w:hAnsi="Palatino Linotype"/>
          <w:color w:val="FF0000"/>
          <w:sz w:val="24"/>
          <w:szCs w:val="24"/>
          <w:highlight w:val="yellow"/>
        </w:rPr>
        <w:t>ordenan:</w:t>
      </w:r>
      <w:r w:rsidR="00455B7D" w:rsidRPr="007749DE">
        <w:rPr>
          <w:rFonts w:ascii="Palatino Linotype" w:hAnsi="Palatino Linotype"/>
          <w:color w:val="FF0000"/>
          <w:sz w:val="24"/>
          <w:szCs w:val="24"/>
        </w:rPr>
        <w:t xml:space="preserve">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19.</w:t>
      </w:r>
      <w:r w:rsidRPr="00D95F46">
        <w:rPr>
          <w:rFonts w:ascii="Palatino Linotype" w:hAnsi="Palatino Linotype"/>
          <w:i/>
        </w:rPr>
        <w:t xml:space="preserve">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D95F46">
        <w:rPr>
          <w:rFonts w:ascii="Palatino Linotype" w:hAnsi="Palatino Linotype"/>
          <w:i/>
        </w:rPr>
        <w:t>, debidamente fundado y motivado, en el que detalle las razones del por qué no obra en sus archivos.”</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49.</w:t>
      </w:r>
      <w:r w:rsidRPr="00D95F46">
        <w:rPr>
          <w:rFonts w:ascii="Palatino Linotype" w:hAnsi="Palatino Linotype"/>
          <w:i/>
        </w:rPr>
        <w:t xml:space="preserve"> </w:t>
      </w:r>
      <w:r w:rsidRPr="00D95F46">
        <w:rPr>
          <w:rFonts w:ascii="Palatino Linotype" w:hAnsi="Palatino Linotype"/>
          <w:b/>
          <w:i/>
        </w:rPr>
        <w:t>Los Comités de Transparencia</w:t>
      </w:r>
      <w:r w:rsidRPr="00D95F46">
        <w:rPr>
          <w:rFonts w:ascii="Palatino Linotype" w:hAnsi="Palatino Linotype"/>
          <w:i/>
        </w:rPr>
        <w:t xml:space="preserve"> tendrán las siguientes </w:t>
      </w:r>
      <w:r w:rsidRPr="00D95F46">
        <w:rPr>
          <w:rFonts w:ascii="Palatino Linotype" w:hAnsi="Palatino Linotype"/>
          <w:b/>
          <w:i/>
        </w:rPr>
        <w:t>atribuciones</w:t>
      </w:r>
      <w:r w:rsidRPr="00D95F46">
        <w:rPr>
          <w:rFonts w:ascii="Palatino Linotype" w:hAnsi="Palatino Linotype"/>
          <w:i/>
        </w:rPr>
        <w:t>:</w:t>
      </w:r>
    </w:p>
    <w:p w:rsidR="00455B7D" w:rsidRPr="00D95F46" w:rsidRDefault="00455B7D" w:rsidP="00C669F3">
      <w:pPr>
        <w:spacing w:after="0" w:line="240" w:lineRule="auto"/>
        <w:ind w:left="567" w:right="561"/>
        <w:jc w:val="both"/>
        <w:rPr>
          <w:rFonts w:ascii="Palatino Linotype" w:hAnsi="Palatino Linotype"/>
          <w:i/>
        </w:rPr>
      </w:pPr>
      <w:r w:rsidRPr="00D95F46">
        <w:rPr>
          <w:rFonts w:ascii="Palatino Linotype" w:hAnsi="Palatino Linotype"/>
          <w:i/>
        </w:rPr>
        <w:t>…</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Confirmar, modificar o revocar las determinaciones que en materia de</w:t>
      </w:r>
      <w:r w:rsidRPr="00D95F46">
        <w:rPr>
          <w:rFonts w:ascii="Palatino Linotype" w:hAnsi="Palatino Linotype"/>
          <w:i/>
        </w:rPr>
        <w:t xml:space="preserve"> ampliación del plazo de respuesta, clasificación de la información y </w:t>
      </w:r>
      <w:r w:rsidRPr="00D95F46">
        <w:rPr>
          <w:rFonts w:ascii="Palatino Linotype" w:hAnsi="Palatino Linotype"/>
          <w:b/>
          <w:i/>
        </w:rPr>
        <w:t>declaración de inexistencia</w:t>
      </w:r>
      <w:r w:rsidRPr="00D95F46">
        <w:rPr>
          <w:rFonts w:ascii="Palatino Linotype" w:hAnsi="Palatino Linotype"/>
          <w:i/>
        </w:rPr>
        <w:t xml:space="preserve"> o de incompetencia realicen los titulares de las áreas de los sujetos obligados;</w:t>
      </w:r>
    </w:p>
    <w:p w:rsidR="00455B7D" w:rsidRPr="00D95F46" w:rsidRDefault="00455B7D" w:rsidP="00C669F3">
      <w:pPr>
        <w:spacing w:after="0" w:line="240" w:lineRule="auto"/>
        <w:ind w:left="567" w:right="561"/>
        <w:jc w:val="both"/>
        <w:rPr>
          <w:rFonts w:ascii="Palatino Linotype" w:hAnsi="Palatino Linotype"/>
          <w:i/>
        </w:rPr>
      </w:pPr>
      <w:r w:rsidRPr="00D95F46">
        <w:rPr>
          <w:rFonts w:ascii="Palatino Linotype" w:hAnsi="Palatino Linotype"/>
          <w:b/>
          <w:i/>
        </w:rPr>
        <w:t>…</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XIII</w:t>
      </w:r>
      <w:r w:rsidRPr="00D95F46">
        <w:rPr>
          <w:rFonts w:ascii="Palatino Linotype" w:hAnsi="Palatino Linotype"/>
          <w:i/>
        </w:rPr>
        <w:t xml:space="preserve">. </w:t>
      </w:r>
      <w:r w:rsidRPr="00D95F46">
        <w:rPr>
          <w:rFonts w:ascii="Palatino Linotype" w:hAnsi="Palatino Linotype"/>
          <w:b/>
          <w:i/>
        </w:rPr>
        <w:t>Dictaminar las declaratorias de inexistencia de la información</w:t>
      </w:r>
      <w:r w:rsidRPr="00D95F46">
        <w:rPr>
          <w:rFonts w:ascii="Palatino Linotype" w:hAnsi="Palatino Linotype"/>
          <w:i/>
        </w:rPr>
        <w:t xml:space="preserve"> que les remitan las unidades administrativas y resolver en consecuencia…”</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169</w:t>
      </w:r>
      <w:r w:rsidRPr="00D95F46">
        <w:rPr>
          <w:rFonts w:ascii="Palatino Linotype" w:hAnsi="Palatino Linotype"/>
          <w:i/>
        </w:rPr>
        <w:t xml:space="preserve">. </w:t>
      </w:r>
      <w:r w:rsidRPr="00D95F46">
        <w:rPr>
          <w:rFonts w:ascii="Palatino Linotype" w:hAnsi="Palatino Linotype"/>
          <w:b/>
          <w:i/>
        </w:rPr>
        <w:t>Cuando la información no se encuentre en los archivos del sujeto obligado, el Comité de Transparencia</w:t>
      </w:r>
      <w:r w:rsidRPr="00D95F46">
        <w:rPr>
          <w:rFonts w:ascii="Palatino Linotype" w:hAnsi="Palatino Linotype"/>
          <w:i/>
        </w:rPr>
        <w:t xml:space="preserve">: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I.</w:t>
      </w:r>
      <w:r w:rsidRPr="00D95F46">
        <w:rPr>
          <w:rFonts w:ascii="Palatino Linotype" w:hAnsi="Palatino Linotype"/>
          <w:i/>
        </w:rPr>
        <w:t xml:space="preserve"> Analizará el caso y tomará las medidas necesarias para localizar la información;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Expedirá una resolución que confirme la inexistencia del documento</w:t>
      </w:r>
      <w:r w:rsidRPr="00D95F46">
        <w:rPr>
          <w:rFonts w:ascii="Palatino Linotype" w:hAnsi="Palatino Linotype"/>
          <w:i/>
        </w:rPr>
        <w:t xml:space="preserve">;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III</w:t>
      </w:r>
      <w:r w:rsidRPr="00D95F46">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w:t>
      </w:r>
      <w:r w:rsidRPr="00D95F46">
        <w:rPr>
          <w:rFonts w:ascii="Palatino Linotype" w:hAnsi="Palatino Linotype"/>
          <w:i/>
        </w:rPr>
        <w:lastRenderedPageBreak/>
        <w:t xml:space="preserve">de su generación, exponga de forma fundada y motivada, las razones por las cuales en el caso particular no ejerció dichas facultades, competencias o funciones, lo cual notificará al solicitante a través de la Unidad de Transparencia; y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b/>
          <w:i/>
        </w:rPr>
        <w:t>IV</w:t>
      </w:r>
      <w:r w:rsidRPr="00D95F46">
        <w:rPr>
          <w:rFonts w:ascii="Palatino Linotype" w:hAnsi="Palatino Linotype"/>
          <w:i/>
        </w:rPr>
        <w:t xml:space="preserve">. Notificará al órgano interno de control o equivalente del sujeto obligado quien, en su caso, deberá iniciar el procedimiento de responsabilidad administrativa que corresponda.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Este plazo podrá ampliarse hasta por otros siete días hábiles, siempre que existan razones para ello, debiendo notificarse por escrito al solicitante.”</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170.</w:t>
      </w:r>
      <w:r w:rsidRPr="00D95F46">
        <w:rPr>
          <w:rFonts w:ascii="Palatino Linotype" w:hAnsi="Palatino Linotype"/>
          <w:i/>
        </w:rPr>
        <w:t xml:space="preserve"> </w:t>
      </w:r>
      <w:r w:rsidRPr="00D95F46">
        <w:rPr>
          <w:rFonts w:ascii="Palatino Linotype" w:hAnsi="Palatino Linotype"/>
          <w:b/>
          <w:i/>
        </w:rPr>
        <w:t>La resolución del Comité de Transparencia que confirme la inexistencia de la información solicitada contendrá los elementos mínimos</w:t>
      </w:r>
      <w:r w:rsidRPr="00D95F46">
        <w:rPr>
          <w:rFonts w:ascii="Palatino Linotype" w:hAnsi="Palatino Linotype"/>
          <w:i/>
        </w:rPr>
        <w:t xml:space="preserve"> </w:t>
      </w:r>
      <w:r w:rsidRPr="00D95F46">
        <w:rPr>
          <w:rFonts w:ascii="Palatino Linotype" w:hAnsi="Palatino Linotype"/>
          <w:b/>
          <w:i/>
        </w:rPr>
        <w:t>que permitan al solicitante tener la certeza de que se utilizó un criterio de búsqueda exhaustivo</w:t>
      </w:r>
      <w:r w:rsidRPr="00D95F46">
        <w:rPr>
          <w:rFonts w:ascii="Palatino Linotype" w:hAnsi="Palatino Linotype"/>
          <w:i/>
        </w:rPr>
        <w:t>, además de señalar las circunstancias de tiempo, modo y lugar que generaron la existencia en cuestión y señalará al servidor público responsable de contar con la misma.”</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sidR="00952796">
        <w:rPr>
          <w:rFonts w:ascii="Palatino Linotype" w:hAnsi="Palatino Linotype"/>
          <w:sz w:val="24"/>
          <w:szCs w:val="24"/>
        </w:rPr>
        <w:t>,</w:t>
      </w:r>
      <w:r w:rsidRPr="00FC6983">
        <w:rPr>
          <w:rFonts w:ascii="Palatino Linotype" w:hAnsi="Palatino Linotype"/>
          <w:sz w:val="24"/>
          <w:szCs w:val="24"/>
        </w:rPr>
        <w:t xml:space="preserve"> n</w:t>
      </w:r>
      <w:r w:rsidR="00D95F46">
        <w:rPr>
          <w:rFonts w:ascii="Palatino Linotype" w:hAnsi="Palatino Linotype"/>
          <w:sz w:val="24"/>
          <w:szCs w:val="24"/>
        </w:rPr>
        <w:t>o se estima correcto contemplar</w:t>
      </w:r>
      <w:r w:rsidRPr="00FC6983">
        <w:rPr>
          <w:rFonts w:ascii="Palatino Linotype" w:hAnsi="Palatino Linotype"/>
          <w:sz w:val="24"/>
          <w:szCs w:val="24"/>
        </w:rPr>
        <w:t xml:space="preserve"> la declaratoria de inexistencia como una opción en el resolutivo de la resolución, en el caso de no localizar</w:t>
      </w:r>
      <w:r w:rsidR="00FD01D6">
        <w:rPr>
          <w:rFonts w:ascii="Palatino Linotype" w:hAnsi="Palatino Linotype"/>
          <w:sz w:val="24"/>
          <w:szCs w:val="24"/>
        </w:rPr>
        <w:t xml:space="preserve"> </w:t>
      </w:r>
      <w:r w:rsidRPr="00FC6983">
        <w:rPr>
          <w:rFonts w:ascii="Palatino Linotype" w:hAnsi="Palatino Linotype"/>
          <w:sz w:val="24"/>
          <w:szCs w:val="24"/>
        </w:rPr>
        <w:t>la baja documental.</w:t>
      </w:r>
    </w:p>
    <w:p w:rsidR="00B26E5D" w:rsidRPr="00C669F3" w:rsidRDefault="00FC6983" w:rsidP="00B26E5D">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b/>
          <w:noProof/>
          <w:sz w:val="24"/>
          <w:szCs w:val="24"/>
          <w:lang w:eastAsia="es-MX"/>
        </w:rPr>
        <mc:AlternateContent>
          <mc:Choice Requires="wps">
            <w:drawing>
              <wp:anchor distT="0" distB="0" distL="114300" distR="114300" simplePos="0" relativeHeight="251661312" behindDoc="1" locked="0" layoutInCell="0" allowOverlap="1" wp14:anchorId="556FEEA5" wp14:editId="42230A61">
                <wp:simplePos x="0" y="0"/>
                <wp:positionH relativeFrom="margin">
                  <wp:align>center</wp:align>
                </wp:positionH>
                <wp:positionV relativeFrom="margin">
                  <wp:posOffset>3248660</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6FEEA5" id="Cuadro de texto 1" o:spid="_x0000_s1027" type="#_x0000_t202" style="position:absolute;left:0;text-align:left;margin-left:0;margin-top:255.8pt;width:558.45pt;height:64.4pt;rotation:-45;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wMkAIAAAo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sz w:val="24"/>
          <w:szCs w:val="24"/>
        </w:rPr>
        <w:t>Ello es así</w:t>
      </w:r>
      <w:r w:rsidR="00860350">
        <w:rPr>
          <w:rFonts w:ascii="Palatino Linotype" w:hAnsi="Palatino Linotype"/>
          <w:sz w:val="24"/>
          <w:szCs w:val="24"/>
        </w:rPr>
        <w:t>,</w:t>
      </w:r>
      <w:r w:rsidRPr="00FC6983">
        <w:rPr>
          <w:rFonts w:ascii="Palatino Linotype" w:hAnsi="Palatino Linotype"/>
          <w:sz w:val="24"/>
          <w:szCs w:val="24"/>
        </w:rPr>
        <w:t xml:space="preserve"> ya que de acuerdo al </w:t>
      </w:r>
      <w:r w:rsidR="00FB6F44" w:rsidRPr="00C669F3">
        <w:rPr>
          <w:rFonts w:ascii="Palatino Linotype" w:hAnsi="Palatino Linotype"/>
          <w:sz w:val="24"/>
          <w:szCs w:val="24"/>
        </w:rPr>
        <w:t xml:space="preserve">CRITERIO 0003-11 </w:t>
      </w:r>
      <w:r w:rsidR="00FB6F44"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sidR="0070730C">
        <w:rPr>
          <w:rFonts w:ascii="Palatino Linotype" w:eastAsia="MS Mincho" w:hAnsi="Palatino Linotype" w:cs="Arial"/>
          <w:sz w:val="24"/>
          <w:szCs w:val="24"/>
          <w:lang w:val="es-ES_tradnl" w:eastAsia="es-ES"/>
        </w:rPr>
        <w:t>,</w:t>
      </w:r>
      <w:r w:rsidR="00FB6F44">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sidR="00E35D8C">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sidR="00E35D8C">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sidR="00E35D8C">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sidR="00FB6F44">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00722B46" w:rsidRPr="00C669F3">
        <w:rPr>
          <w:rFonts w:ascii="Palatino Linotype" w:hAnsi="Palatino Linotype"/>
          <w:sz w:val="24"/>
          <w:szCs w:val="24"/>
        </w:rPr>
        <w:t>,</w:t>
      </w:r>
      <w:r w:rsidRPr="00FC6983">
        <w:rPr>
          <w:rFonts w:ascii="Palatino Linotype" w:hAnsi="Palatino Linotype"/>
          <w:sz w:val="24"/>
          <w:szCs w:val="24"/>
        </w:rPr>
        <w:t xml:space="preserve"> como pudieran ser</w:t>
      </w:r>
      <w:r w:rsidR="00722B46" w:rsidRPr="00C669F3">
        <w:rPr>
          <w:rFonts w:ascii="Palatino Linotype" w:hAnsi="Palatino Linotype"/>
          <w:sz w:val="24"/>
          <w:szCs w:val="24"/>
        </w:rPr>
        <w:t xml:space="preserve"> la </w:t>
      </w:r>
      <w:r w:rsidRPr="00FC6983">
        <w:rPr>
          <w:rFonts w:ascii="Palatino Linotype" w:hAnsi="Palatino Linotype"/>
          <w:sz w:val="24"/>
          <w:szCs w:val="24"/>
        </w:rPr>
        <w:t xml:space="preserve">destrucción o desaparición </w:t>
      </w:r>
      <w:r w:rsidRPr="00FC6983">
        <w:rPr>
          <w:rFonts w:ascii="Palatino Linotype" w:hAnsi="Palatino Linotype"/>
          <w:sz w:val="24"/>
          <w:szCs w:val="24"/>
        </w:rPr>
        <w:lastRenderedPageBreak/>
        <w:t>física, sustracción ilícita, baja documental o cualquier otra;</w:t>
      </w:r>
      <w:r w:rsidR="00722B46"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00722B46"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00722B46"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00722B46" w:rsidRPr="00C669F3">
        <w:rPr>
          <w:rFonts w:ascii="Palatino Linotype" w:hAnsi="Palatino Linotype"/>
          <w:sz w:val="24"/>
          <w:szCs w:val="24"/>
        </w:rPr>
        <w:t>,</w:t>
      </w:r>
      <w:r w:rsidRPr="00FC6983">
        <w:rPr>
          <w:rFonts w:ascii="Palatino Linotype" w:hAnsi="Palatino Linotype"/>
          <w:sz w:val="24"/>
          <w:szCs w:val="24"/>
        </w:rPr>
        <w:t xml:space="preserve"> pero en i</w:t>
      </w:r>
      <w:r w:rsidR="005E43ED">
        <w:rPr>
          <w:rFonts w:ascii="Palatino Linotype" w:hAnsi="Palatino Linotype"/>
          <w:sz w:val="24"/>
          <w:szCs w:val="24"/>
        </w:rPr>
        <w:t xml:space="preserve">ncumplimiento </w:t>
      </w:r>
      <w:r w:rsidR="00722B46"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00B26E5D" w:rsidRPr="00C669F3">
        <w:rPr>
          <w:rFonts w:ascii="Palatino Linotype" w:hAnsi="Palatino Linotype"/>
          <w:sz w:val="24"/>
          <w:szCs w:val="24"/>
        </w:rPr>
        <w:t xml:space="preserve">lo </w:t>
      </w:r>
      <w:r w:rsidR="00722B46" w:rsidRPr="00C669F3">
        <w:rPr>
          <w:rFonts w:ascii="Palatino Linotype" w:hAnsi="Palatino Linotype"/>
          <w:sz w:val="24"/>
          <w:szCs w:val="24"/>
        </w:rPr>
        <w:t xml:space="preserve">establece </w:t>
      </w:r>
      <w:r w:rsidRPr="00FC6983">
        <w:rPr>
          <w:rFonts w:ascii="Palatino Linotype" w:hAnsi="Palatino Linotype"/>
          <w:sz w:val="24"/>
          <w:szCs w:val="24"/>
        </w:rPr>
        <w:t>el</w:t>
      </w:r>
      <w:r w:rsidR="00FB6F44">
        <w:rPr>
          <w:rFonts w:ascii="Palatino Linotype" w:hAnsi="Palatino Linotype"/>
          <w:sz w:val="24"/>
          <w:szCs w:val="24"/>
        </w:rPr>
        <w:t xml:space="preserve"> criterio supraindicado, el cual </w:t>
      </w:r>
      <w:r w:rsidR="00B26E5D"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sidR="005E43ED">
        <w:rPr>
          <w:rFonts w:ascii="Palatino Linotype" w:eastAsia="MS Mincho" w:hAnsi="Palatino Linotype" w:cs="Arial"/>
          <w:sz w:val="24"/>
          <w:szCs w:val="24"/>
          <w:lang w:val="es-ES_tradnl" w:eastAsia="es-ES"/>
        </w:rPr>
        <w:t>, como se transcribe a continuación:</w:t>
      </w:r>
    </w:p>
    <w:p w:rsidR="00FC6983" w:rsidRPr="00D95F46" w:rsidRDefault="00FC6983" w:rsidP="00C669F3">
      <w:pPr>
        <w:spacing w:after="0" w:line="240" w:lineRule="auto"/>
        <w:ind w:left="567" w:right="561"/>
        <w:jc w:val="both"/>
        <w:rPr>
          <w:rFonts w:ascii="Palatino Linotype" w:hAnsi="Palatino Linotype"/>
          <w:i/>
        </w:rPr>
      </w:pPr>
      <w:r w:rsidRPr="00D95F46">
        <w:rPr>
          <w:b/>
          <w:noProof/>
          <w:lang w:eastAsia="es-MX"/>
        </w:rPr>
        <mc:AlternateContent>
          <mc:Choice Requires="wps">
            <w:drawing>
              <wp:anchor distT="0" distB="0" distL="114300" distR="114300" simplePos="0" relativeHeight="251662336" behindDoc="1" locked="0" layoutInCell="0" allowOverlap="1" wp14:anchorId="55520E4B" wp14:editId="47FB3208">
                <wp:simplePos x="0" y="0"/>
                <wp:positionH relativeFrom="margin">
                  <wp:align>center</wp:align>
                </wp:positionH>
                <wp:positionV relativeFrom="margin">
                  <wp:posOffset>2910205</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520E4B" id="Cuadro de texto 7" o:spid="_x0000_s1028" type="#_x0000_t202" style="position:absolute;left:0;text-align:left;margin-left:0;margin-top:229.15pt;width:558.45pt;height:64.4pt;rotation:-45;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FNkQIAAAo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D95F46">
        <w:rPr>
          <w:rFonts w:ascii="Palatino Linotype" w:hAnsi="Palatino Linotype"/>
          <w:i/>
        </w:rPr>
        <w:t>“</w:t>
      </w:r>
      <w:r w:rsidRPr="00D95F46">
        <w:rPr>
          <w:rFonts w:ascii="Palatino Linotype" w:hAnsi="Palatino Linotype"/>
          <w:b/>
          <w:i/>
        </w:rPr>
        <w:t>INEXISTENCIA, CONCEPTO DE, EN MATERIA DE TRANSPARENCIA</w:t>
      </w:r>
      <w:r w:rsidRPr="00D95F46">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95F46">
        <w:rPr>
          <w:rFonts w:ascii="Palatino Linotype" w:hAnsi="Palatino Linotype"/>
          <w:b/>
          <w:i/>
        </w:rPr>
        <w:t>supuestos:</w:t>
      </w:r>
      <w:r w:rsidRPr="00D95F46">
        <w:rPr>
          <w:rFonts w:ascii="Palatino Linotype" w:hAnsi="Palatino Linotype"/>
          <w:i/>
        </w:rPr>
        <w:t xml:space="preserve"> </w:t>
      </w:r>
    </w:p>
    <w:p w:rsidR="00FC6983" w:rsidRPr="00D95F46" w:rsidRDefault="00FC6983" w:rsidP="00C669F3">
      <w:pPr>
        <w:numPr>
          <w:ilvl w:val="0"/>
          <w:numId w:val="8"/>
        </w:numPr>
        <w:spacing w:after="0" w:line="240" w:lineRule="auto"/>
        <w:ind w:left="567" w:right="561"/>
        <w:jc w:val="both"/>
        <w:rPr>
          <w:rFonts w:ascii="Palatino Linotype" w:hAnsi="Palatino Linotype"/>
          <w:b/>
          <w:i/>
        </w:rPr>
      </w:pPr>
      <w:r w:rsidRPr="00D95F46">
        <w:rPr>
          <w:rFonts w:ascii="Palatino Linotype" w:hAnsi="Palatino Linotype"/>
          <w:b/>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FC6983" w:rsidRPr="00D95F46" w:rsidRDefault="00FC6983" w:rsidP="00C669F3">
      <w:pPr>
        <w:numPr>
          <w:ilvl w:val="0"/>
          <w:numId w:val="8"/>
        </w:numPr>
        <w:spacing w:after="0" w:line="240" w:lineRule="auto"/>
        <w:ind w:left="567" w:right="561"/>
        <w:jc w:val="both"/>
        <w:rPr>
          <w:rFonts w:ascii="Palatino Linotype" w:hAnsi="Palatino Linotype"/>
          <w:i/>
        </w:rPr>
      </w:pPr>
      <w:r w:rsidRPr="00D95F46">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ninguna de esas acciones. </w:t>
      </w:r>
    </w:p>
    <w:p w:rsidR="00FC6983" w:rsidRPr="00D95F46" w:rsidRDefault="00FC6983" w:rsidP="00C669F3">
      <w:pPr>
        <w:spacing w:after="0" w:line="240" w:lineRule="auto"/>
        <w:ind w:left="567" w:right="561"/>
        <w:jc w:val="both"/>
        <w:rPr>
          <w:rFonts w:ascii="Palatino Linotype" w:hAnsi="Palatino Linotype"/>
          <w:i/>
        </w:rPr>
      </w:pPr>
      <w:r w:rsidRPr="00D95F46">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255EC" w:rsidRPr="00C669F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00A255EC"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sidR="007215C8">
        <w:rPr>
          <w:rFonts w:ascii="Palatino Linotype" w:hAnsi="Palatino Linotype"/>
          <w:sz w:val="24"/>
          <w:szCs w:val="24"/>
        </w:rPr>
        <w:t>sus atribuciones</w:t>
      </w:r>
      <w:r w:rsidR="00A255EC"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00A255EC" w:rsidRPr="00C669F3">
        <w:rPr>
          <w:rFonts w:ascii="Palatino Linotype" w:hAnsi="Palatino Linotype"/>
          <w:sz w:val="24"/>
          <w:szCs w:val="24"/>
        </w:rPr>
        <w:t xml:space="preserve"> archivos por distintas razones, mismas que deberán </w:t>
      </w:r>
      <w:r w:rsidRPr="00FC6983">
        <w:rPr>
          <w:b/>
          <w:noProof/>
          <w:sz w:val="24"/>
          <w:szCs w:val="24"/>
          <w:lang w:eastAsia="es-MX"/>
        </w:rPr>
        <mc:AlternateContent>
          <mc:Choice Requires="wps">
            <w:drawing>
              <wp:anchor distT="0" distB="0" distL="114300" distR="114300" simplePos="0" relativeHeight="251659264" behindDoc="1" locked="0" layoutInCell="0" allowOverlap="1" wp14:anchorId="0ABB2E22" wp14:editId="49E57DEE">
                <wp:simplePos x="0" y="0"/>
                <wp:positionH relativeFrom="margin">
                  <wp:align>center</wp:align>
                </wp:positionH>
                <wp:positionV relativeFrom="margin">
                  <wp:posOffset>2569845</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B2E22" id="Cuadro de texto 5" o:spid="_x0000_s1029" type="#_x0000_t202" style="position:absolute;left:0;text-align:left;margin-left:0;margin-top:202.3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" o:allowincell="f" filled="f" stroked="f">
                <v:stroke joinstyle="round"/>
                <o:lock v:ext="edit" shapetype="t"/>
                <v:textbox style="mso-fit-shape-to-text:t">
                  <w:txbxContent>
                    <w:p w:rsidR="00FC6983" w:rsidRDefault="00FC6983" w:rsidP="00FC698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sz w:val="24"/>
          <w:szCs w:val="24"/>
        </w:rPr>
        <w:t xml:space="preserve">acreditarse y justificarse </w:t>
      </w:r>
      <w:r w:rsidR="00A255EC"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00A255EC" w:rsidRPr="00C669F3">
        <w:rPr>
          <w:rFonts w:ascii="Palatino Linotype" w:hAnsi="Palatino Linotype"/>
          <w:sz w:val="24"/>
          <w:szCs w:val="24"/>
        </w:rPr>
        <w:t xml:space="preserve">. </w:t>
      </w:r>
    </w:p>
    <w:p w:rsidR="00FC6983" w:rsidRPr="00FC6983" w:rsidRDefault="00A255EC" w:rsidP="00FC6983">
      <w:pPr>
        <w:spacing w:before="240" w:after="240" w:line="360" w:lineRule="auto"/>
        <w:jc w:val="both"/>
        <w:rPr>
          <w:rFonts w:ascii="Palatino Linotype" w:hAnsi="Palatino Linotype"/>
          <w:sz w:val="24"/>
          <w:szCs w:val="24"/>
        </w:rPr>
      </w:pPr>
      <w:r w:rsidRPr="00C669F3">
        <w:rPr>
          <w:rFonts w:ascii="Palatino Linotype" w:hAnsi="Palatino Linotype"/>
          <w:sz w:val="24"/>
          <w:szCs w:val="24"/>
        </w:rPr>
        <w:lastRenderedPageBreak/>
        <w:t>D</w:t>
      </w:r>
      <w:r w:rsidR="00FC6983"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00FC6983"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00FC6983" w:rsidRPr="00FC6983">
        <w:rPr>
          <w:rFonts w:ascii="Palatino Linotype" w:hAnsi="Palatino Linotype"/>
          <w:sz w:val="24"/>
          <w:szCs w:val="24"/>
        </w:rPr>
        <w:t>los Comité</w:t>
      </w:r>
      <w:r w:rsidRPr="00C669F3">
        <w:rPr>
          <w:rFonts w:ascii="Palatino Linotype" w:hAnsi="Palatino Linotype"/>
          <w:sz w:val="24"/>
          <w:szCs w:val="24"/>
        </w:rPr>
        <w:t>s</w:t>
      </w:r>
      <w:r w:rsidR="00FC6983" w:rsidRPr="00FC6983">
        <w:rPr>
          <w:rFonts w:ascii="Palatino Linotype" w:hAnsi="Palatino Linotype"/>
          <w:sz w:val="24"/>
          <w:szCs w:val="24"/>
        </w:rPr>
        <w:t xml:space="preserve"> de Transparencia</w:t>
      </w:r>
      <w:r w:rsidRPr="00C669F3">
        <w:rPr>
          <w:rFonts w:ascii="Palatino Linotype" w:hAnsi="Palatino Linotype"/>
          <w:sz w:val="24"/>
          <w:szCs w:val="24"/>
        </w:rPr>
        <w:t>,</w:t>
      </w:r>
      <w:r w:rsidR="00FC6983"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00FC6983" w:rsidRPr="00FC6983">
        <w:rPr>
          <w:rFonts w:ascii="Palatino Linotype" w:hAnsi="Palatino Linotype"/>
          <w:sz w:val="24"/>
          <w:szCs w:val="24"/>
        </w:rPr>
        <w:t>debe</w:t>
      </w:r>
      <w:r w:rsidRPr="00C669F3">
        <w:rPr>
          <w:rFonts w:ascii="Palatino Linotype" w:hAnsi="Palatino Linotype"/>
          <w:sz w:val="24"/>
          <w:szCs w:val="24"/>
        </w:rPr>
        <w:t>rá</w:t>
      </w:r>
      <w:r w:rsidR="00B25746">
        <w:rPr>
          <w:rFonts w:ascii="Palatino Linotype" w:hAnsi="Palatino Linotype"/>
          <w:sz w:val="24"/>
          <w:szCs w:val="24"/>
        </w:rPr>
        <w:t>n</w:t>
      </w:r>
      <w:r w:rsidRPr="00C669F3">
        <w:rPr>
          <w:rFonts w:ascii="Palatino Linotype" w:hAnsi="Palatino Linotype"/>
          <w:sz w:val="24"/>
          <w:szCs w:val="24"/>
        </w:rPr>
        <w:t xml:space="preserve"> </w:t>
      </w:r>
      <w:r w:rsidR="00FC6983" w:rsidRPr="00FC6983">
        <w:rPr>
          <w:rFonts w:ascii="Palatino Linotype" w:hAnsi="Palatino Linotype"/>
          <w:sz w:val="24"/>
          <w:szCs w:val="24"/>
        </w:rPr>
        <w:t>emitir un acuerdo de inexistencia que confirme, modifique o revoque la misma</w:t>
      </w:r>
      <w:r w:rsidR="00FC6983"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00FC6983"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00FC6983"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00FC6983" w:rsidRPr="00FC6983">
        <w:rPr>
          <w:rFonts w:ascii="Palatino Linotype" w:hAnsi="Palatino Linotype"/>
          <w:sz w:val="24"/>
          <w:szCs w:val="24"/>
        </w:rPr>
        <w:t>gener</w:t>
      </w:r>
      <w:r w:rsidRPr="00C669F3">
        <w:rPr>
          <w:rFonts w:ascii="Palatino Linotype" w:hAnsi="Palatino Linotype"/>
          <w:sz w:val="24"/>
          <w:szCs w:val="24"/>
        </w:rPr>
        <w:t xml:space="preserve">en </w:t>
      </w:r>
      <w:r w:rsidR="00FC6983" w:rsidRPr="00FC6983">
        <w:rPr>
          <w:rFonts w:ascii="Palatino Linotype" w:hAnsi="Palatino Linotype"/>
          <w:sz w:val="24"/>
          <w:szCs w:val="24"/>
        </w:rPr>
        <w:t>certeza</w:t>
      </w:r>
      <w:r w:rsidRPr="00C669F3">
        <w:rPr>
          <w:rFonts w:ascii="Palatino Linotype" w:hAnsi="Palatino Linotype"/>
          <w:sz w:val="24"/>
          <w:szCs w:val="24"/>
        </w:rPr>
        <w:t xml:space="preserve"> a</w:t>
      </w:r>
      <w:r w:rsidR="007D0AA8">
        <w:rPr>
          <w:rFonts w:ascii="Palatino Linotype" w:hAnsi="Palatino Linotype"/>
          <w:sz w:val="24"/>
          <w:szCs w:val="24"/>
        </w:rPr>
        <w:t xml:space="preserve">l </w:t>
      </w:r>
      <w:r w:rsidR="00FC6983" w:rsidRPr="00FC6983">
        <w:rPr>
          <w:rFonts w:ascii="Palatino Linotype" w:hAnsi="Palatino Linotype"/>
          <w:sz w:val="24"/>
          <w:szCs w:val="24"/>
        </w:rPr>
        <w:t>solicitante de que se utilizó un criterio de búsqueda exhaustivo, pero además, que se señalen las circunstancias de tiempo modo y lugar que generaron la existencia.</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sidR="0088431B">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sidR="00036BA0">
        <w:rPr>
          <w:rFonts w:ascii="Palatino Linotype" w:hAnsi="Palatino Linotype"/>
          <w:sz w:val="24"/>
          <w:szCs w:val="24"/>
        </w:rPr>
        <w:t xml:space="preserve">la </w:t>
      </w:r>
      <w:r w:rsidRPr="00FC6983">
        <w:rPr>
          <w:rFonts w:ascii="Palatino Linotype" w:hAnsi="Palatino Linotype"/>
          <w:sz w:val="24"/>
          <w:szCs w:val="24"/>
        </w:rPr>
        <w:t>posee en sus archivos.</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como parte de eso último que se debe acreditar, donde pudiera entrar lo relativo a una baja documental, ya que el criterio de la inexistencia es claro </w:t>
      </w:r>
      <w:r w:rsidR="00992994" w:rsidRPr="00C669F3">
        <w:rPr>
          <w:rFonts w:ascii="Palatino Linotype" w:hAnsi="Palatino Linotype"/>
          <w:sz w:val="24"/>
          <w:szCs w:val="24"/>
        </w:rPr>
        <w:t xml:space="preserve">al </w:t>
      </w:r>
      <w:r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w:t>
      </w:r>
      <w:r w:rsidR="00992994"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00992994"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00992994" w:rsidRPr="00C669F3">
        <w:rPr>
          <w:rFonts w:ascii="Palatino Linotype" w:hAnsi="Palatino Linotype"/>
          <w:sz w:val="24"/>
          <w:szCs w:val="24"/>
        </w:rPr>
        <w:t>ó</w:t>
      </w:r>
      <w:r w:rsidRPr="00FC6983">
        <w:rPr>
          <w:rFonts w:ascii="Palatino Linotype" w:hAnsi="Palatino Linotype"/>
          <w:sz w:val="24"/>
          <w:szCs w:val="24"/>
        </w:rPr>
        <w:t xml:space="preserve">, se sustrajo de manera ilícita, se </w:t>
      </w:r>
      <w:r w:rsidRPr="00FC6983">
        <w:rPr>
          <w:rFonts w:ascii="Palatino Linotype" w:hAnsi="Palatino Linotype"/>
          <w:sz w:val="24"/>
          <w:szCs w:val="24"/>
        </w:rPr>
        <w:lastRenderedPageBreak/>
        <w:t>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FC6983" w:rsidRPr="00FC6983" w:rsidRDefault="00FC6983" w:rsidP="00FC6983">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w:t>
      </w:r>
      <w:r w:rsidR="00992994"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00992994" w:rsidRPr="00C669F3">
        <w:rPr>
          <w:rFonts w:ascii="Palatino Linotype" w:hAnsi="Palatino Linotype"/>
          <w:sz w:val="24"/>
          <w:szCs w:val="24"/>
        </w:rPr>
        <w:t xml:space="preserve">. </w:t>
      </w:r>
    </w:p>
    <w:p w:rsidR="00B71BFC" w:rsidRPr="00B51880" w:rsidRDefault="00BE1582" w:rsidP="007749DE">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sidR="0044539C">
        <w:rPr>
          <w:rFonts w:ascii="Palatino Linotype" w:hAnsi="Palatino Linotype"/>
          <w:sz w:val="24"/>
          <w:szCs w:val="24"/>
        </w:rPr>
        <w:t>emisión</w:t>
      </w:r>
      <w:r w:rsidRPr="00B51880">
        <w:rPr>
          <w:rFonts w:ascii="Palatino Linotype" w:hAnsi="Palatino Linotype"/>
          <w:sz w:val="24"/>
          <w:szCs w:val="24"/>
        </w:rPr>
        <w:t xml:space="preserve"> y presentación de</w:t>
      </w:r>
      <w:r w:rsidR="0044539C">
        <w:rPr>
          <w:rFonts w:ascii="Palatino Linotype" w:hAnsi="Palatino Linotype"/>
          <w:sz w:val="24"/>
          <w:szCs w:val="24"/>
        </w:rPr>
        <w:t xml:space="preserve">l presente </w:t>
      </w:r>
      <w:r w:rsidR="00A63576">
        <w:rPr>
          <w:rFonts w:ascii="Palatino Linotype" w:hAnsi="Palatino Linotype"/>
          <w:sz w:val="24"/>
          <w:szCs w:val="24"/>
        </w:rPr>
        <w:t>Voto Particular</w:t>
      </w:r>
      <w:r w:rsidR="00791327">
        <w:rPr>
          <w:rFonts w:ascii="Palatino Linotype" w:hAnsi="Palatino Linotype"/>
          <w:sz w:val="24"/>
          <w:szCs w:val="24"/>
        </w:rPr>
        <w:t xml:space="preserve"> </w:t>
      </w:r>
      <w:r w:rsidR="00A63576">
        <w:rPr>
          <w:rFonts w:ascii="Palatino Linotype" w:hAnsi="Palatino Linotype"/>
          <w:sz w:val="24"/>
          <w:szCs w:val="24"/>
        </w:rPr>
        <w:t xml:space="preserve">relacionado con </w:t>
      </w:r>
      <w:r w:rsidR="007A23EB">
        <w:rPr>
          <w:rFonts w:ascii="Palatino Linotype" w:hAnsi="Palatino Linotype"/>
          <w:sz w:val="24"/>
          <w:szCs w:val="24"/>
        </w:rPr>
        <w:t>la resolución d</w:t>
      </w:r>
      <w:r w:rsidR="00EE5D56">
        <w:rPr>
          <w:rFonts w:ascii="Palatino Linotype" w:hAnsi="Palatino Linotype"/>
          <w:sz w:val="24"/>
          <w:szCs w:val="24"/>
        </w:rPr>
        <w:t xml:space="preserve">el recurso de revisión referido. </w:t>
      </w:r>
    </w:p>
    <w:p w:rsidR="005A5EBF" w:rsidRDefault="005A5EBF" w:rsidP="009549EF">
      <w:pPr>
        <w:spacing w:after="0" w:line="240" w:lineRule="auto"/>
        <w:jc w:val="center"/>
        <w:rPr>
          <w:rFonts w:ascii="Palatino Linotype" w:hAnsi="Palatino Linotype"/>
          <w:b/>
          <w:sz w:val="24"/>
          <w:szCs w:val="24"/>
        </w:rPr>
      </w:pPr>
    </w:p>
    <w:p w:rsidR="00966EC6" w:rsidRDefault="00966EC6" w:rsidP="009549EF">
      <w:pPr>
        <w:spacing w:after="0" w:line="240" w:lineRule="auto"/>
        <w:jc w:val="center"/>
        <w:rPr>
          <w:rFonts w:ascii="Palatino Linotype" w:hAnsi="Palatino Linotype"/>
          <w:b/>
          <w:sz w:val="24"/>
          <w:szCs w:val="24"/>
        </w:rPr>
      </w:pPr>
    </w:p>
    <w:p w:rsidR="00EB470A" w:rsidRDefault="00EB470A" w:rsidP="009549EF">
      <w:pPr>
        <w:spacing w:after="0" w:line="240" w:lineRule="auto"/>
        <w:jc w:val="center"/>
        <w:rPr>
          <w:rFonts w:ascii="Palatino Linotype" w:hAnsi="Palatino Linotype"/>
          <w:b/>
          <w:sz w:val="24"/>
          <w:szCs w:val="24"/>
        </w:rPr>
      </w:pPr>
    </w:p>
    <w:p w:rsidR="00D01AF4" w:rsidRDefault="00D01AF4" w:rsidP="009549EF">
      <w:pPr>
        <w:spacing w:after="0" w:line="240" w:lineRule="auto"/>
        <w:jc w:val="center"/>
        <w:rPr>
          <w:rFonts w:ascii="Palatino Linotype" w:hAnsi="Palatino Linotype"/>
          <w:b/>
          <w:sz w:val="24"/>
          <w:szCs w:val="24"/>
        </w:rPr>
      </w:pPr>
    </w:p>
    <w:p w:rsidR="00D40FD0" w:rsidRDefault="00D40FD0"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66EC6"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D318C0" w:rsidRPr="00D318C0" w:rsidRDefault="00D318C0" w:rsidP="009549EF">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D3823" w:rsidRPr="00966EC6" w:rsidRDefault="00BD3823" w:rsidP="00E427C6">
      <w:pPr>
        <w:rPr>
          <w:rFonts w:ascii="Palatino Linotype" w:hAnsi="Palatino Linotype"/>
          <w:b/>
          <w:sz w:val="24"/>
          <w:szCs w:val="24"/>
        </w:rPr>
      </w:pPr>
    </w:p>
    <w:sectPr w:rsidR="00BD3823" w:rsidRPr="00966EC6"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EE" w:rsidRDefault="001F03EE" w:rsidP="00907451">
      <w:pPr>
        <w:spacing w:after="0" w:line="240" w:lineRule="auto"/>
      </w:pPr>
      <w:r>
        <w:separator/>
      </w:r>
    </w:p>
  </w:endnote>
  <w:endnote w:type="continuationSeparator" w:id="0">
    <w:p w:rsidR="001F03EE" w:rsidRDefault="001F03EE"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0011">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0011">
      <w:rPr>
        <w:rFonts w:ascii="Arial" w:hAnsi="Arial" w:cs="Arial"/>
        <w:b/>
        <w:bCs/>
        <w:noProof/>
        <w:sz w:val="20"/>
        <w:szCs w:val="20"/>
      </w:rPr>
      <w:t>8</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EE" w:rsidRDefault="001F03EE" w:rsidP="00907451">
      <w:pPr>
        <w:spacing w:after="0" w:line="240" w:lineRule="auto"/>
      </w:pPr>
      <w:r>
        <w:separator/>
      </w:r>
    </w:p>
  </w:footnote>
  <w:footnote w:type="continuationSeparator" w:id="0">
    <w:p w:rsidR="001F03EE" w:rsidRDefault="001F03EE" w:rsidP="00907451">
      <w:pPr>
        <w:spacing w:after="0" w:line="240" w:lineRule="auto"/>
      </w:pPr>
      <w:r>
        <w:continuationSeparator/>
      </w:r>
    </w:p>
  </w:footnote>
  <w:footnote w:id="1">
    <w:p w:rsidR="00FC6983" w:rsidRPr="002003A8" w:rsidRDefault="00FC6983" w:rsidP="00FC6983">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30"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1F03EE">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D95F46">
      <w:rPr>
        <w:rFonts w:ascii="Palatino Linotype" w:hAnsi="Palatino Linotype"/>
        <w:b/>
        <w:sz w:val="22"/>
        <w:szCs w:val="22"/>
        <w:lang w:val="es-ES_tradnl"/>
      </w:rPr>
      <w:t>2593</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BAC0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3132DF"/>
    <w:multiLevelType w:val="hybridMultilevel"/>
    <w:tmpl w:val="B308EBF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9"/>
  </w:num>
  <w:num w:numId="3">
    <w:abstractNumId w:val="7"/>
  </w:num>
  <w:num w:numId="4">
    <w:abstractNumId w:val="10"/>
  </w:num>
  <w:num w:numId="5">
    <w:abstractNumId w:val="0"/>
  </w:num>
  <w:num w:numId="6">
    <w:abstractNumId w:val="1"/>
  </w:num>
  <w:num w:numId="7">
    <w:abstractNumId w:val="3"/>
  </w:num>
  <w:num w:numId="8">
    <w:abstractNumId w:val="4"/>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25A"/>
    <w:rsid w:val="00003415"/>
    <w:rsid w:val="00003CE8"/>
    <w:rsid w:val="00012664"/>
    <w:rsid w:val="000128A8"/>
    <w:rsid w:val="00012E0B"/>
    <w:rsid w:val="00015C42"/>
    <w:rsid w:val="0002702F"/>
    <w:rsid w:val="00036BA0"/>
    <w:rsid w:val="00037BC1"/>
    <w:rsid w:val="00042A3C"/>
    <w:rsid w:val="00043C5D"/>
    <w:rsid w:val="00051C17"/>
    <w:rsid w:val="00054A97"/>
    <w:rsid w:val="000558BE"/>
    <w:rsid w:val="00057319"/>
    <w:rsid w:val="000607BA"/>
    <w:rsid w:val="000615FF"/>
    <w:rsid w:val="00065EED"/>
    <w:rsid w:val="00067737"/>
    <w:rsid w:val="000776CE"/>
    <w:rsid w:val="00085B55"/>
    <w:rsid w:val="000A0EA9"/>
    <w:rsid w:val="000A199A"/>
    <w:rsid w:val="000A1CD3"/>
    <w:rsid w:val="000E1145"/>
    <w:rsid w:val="000E4C81"/>
    <w:rsid w:val="000E65A7"/>
    <w:rsid w:val="000E68E0"/>
    <w:rsid w:val="00112D13"/>
    <w:rsid w:val="001235DC"/>
    <w:rsid w:val="001363F6"/>
    <w:rsid w:val="001413F3"/>
    <w:rsid w:val="001455F9"/>
    <w:rsid w:val="00153A3F"/>
    <w:rsid w:val="00155046"/>
    <w:rsid w:val="00164C93"/>
    <w:rsid w:val="00170FF9"/>
    <w:rsid w:val="00172F76"/>
    <w:rsid w:val="001822F4"/>
    <w:rsid w:val="001A6A2D"/>
    <w:rsid w:val="001A7C78"/>
    <w:rsid w:val="001B1F85"/>
    <w:rsid w:val="001C4652"/>
    <w:rsid w:val="001C4976"/>
    <w:rsid w:val="001C6C98"/>
    <w:rsid w:val="001D5D9B"/>
    <w:rsid w:val="001E169C"/>
    <w:rsid w:val="001F03EE"/>
    <w:rsid w:val="00200684"/>
    <w:rsid w:val="002073F9"/>
    <w:rsid w:val="00215353"/>
    <w:rsid w:val="00222385"/>
    <w:rsid w:val="002300BA"/>
    <w:rsid w:val="00232C29"/>
    <w:rsid w:val="00235BA8"/>
    <w:rsid w:val="00250084"/>
    <w:rsid w:val="0025033B"/>
    <w:rsid w:val="00253645"/>
    <w:rsid w:val="00255951"/>
    <w:rsid w:val="002618A9"/>
    <w:rsid w:val="002718A7"/>
    <w:rsid w:val="002814FD"/>
    <w:rsid w:val="002839ED"/>
    <w:rsid w:val="00286E04"/>
    <w:rsid w:val="00290EE4"/>
    <w:rsid w:val="00292D40"/>
    <w:rsid w:val="002A066C"/>
    <w:rsid w:val="002A279D"/>
    <w:rsid w:val="002A58A9"/>
    <w:rsid w:val="002A5ADD"/>
    <w:rsid w:val="002A6104"/>
    <w:rsid w:val="002A6359"/>
    <w:rsid w:val="002B27FB"/>
    <w:rsid w:val="002B287A"/>
    <w:rsid w:val="002B7481"/>
    <w:rsid w:val="002E57B3"/>
    <w:rsid w:val="00302DEC"/>
    <w:rsid w:val="003277EB"/>
    <w:rsid w:val="00334A53"/>
    <w:rsid w:val="00345DBD"/>
    <w:rsid w:val="00347C52"/>
    <w:rsid w:val="00350A00"/>
    <w:rsid w:val="0036408D"/>
    <w:rsid w:val="003707EB"/>
    <w:rsid w:val="00386268"/>
    <w:rsid w:val="0038757F"/>
    <w:rsid w:val="00394A51"/>
    <w:rsid w:val="003A62A7"/>
    <w:rsid w:val="003A7B43"/>
    <w:rsid w:val="003B33CF"/>
    <w:rsid w:val="003F2744"/>
    <w:rsid w:val="00406CA5"/>
    <w:rsid w:val="00415D0E"/>
    <w:rsid w:val="0041755E"/>
    <w:rsid w:val="00423EF9"/>
    <w:rsid w:val="00427A46"/>
    <w:rsid w:val="00430B17"/>
    <w:rsid w:val="0043178E"/>
    <w:rsid w:val="00433D38"/>
    <w:rsid w:val="00434A13"/>
    <w:rsid w:val="00437C12"/>
    <w:rsid w:val="0044539C"/>
    <w:rsid w:val="00455B7D"/>
    <w:rsid w:val="00455E38"/>
    <w:rsid w:val="00456467"/>
    <w:rsid w:val="004653B1"/>
    <w:rsid w:val="004A7024"/>
    <w:rsid w:val="004B6E4B"/>
    <w:rsid w:val="004C07CA"/>
    <w:rsid w:val="004C39D6"/>
    <w:rsid w:val="004D5A8F"/>
    <w:rsid w:val="004E721D"/>
    <w:rsid w:val="00500CC7"/>
    <w:rsid w:val="00503956"/>
    <w:rsid w:val="00503AA1"/>
    <w:rsid w:val="00505F5A"/>
    <w:rsid w:val="00515B24"/>
    <w:rsid w:val="00537492"/>
    <w:rsid w:val="00541636"/>
    <w:rsid w:val="00541970"/>
    <w:rsid w:val="00544E68"/>
    <w:rsid w:val="0055015B"/>
    <w:rsid w:val="00551B01"/>
    <w:rsid w:val="005549ED"/>
    <w:rsid w:val="005702E5"/>
    <w:rsid w:val="00574532"/>
    <w:rsid w:val="005764B7"/>
    <w:rsid w:val="005777C1"/>
    <w:rsid w:val="00583657"/>
    <w:rsid w:val="00587E6C"/>
    <w:rsid w:val="0059378F"/>
    <w:rsid w:val="005A11AE"/>
    <w:rsid w:val="005A18DD"/>
    <w:rsid w:val="005A5EBF"/>
    <w:rsid w:val="005B0B13"/>
    <w:rsid w:val="005D066B"/>
    <w:rsid w:val="005D0E4E"/>
    <w:rsid w:val="005D190F"/>
    <w:rsid w:val="005E0BCA"/>
    <w:rsid w:val="005E43ED"/>
    <w:rsid w:val="005E608D"/>
    <w:rsid w:val="005E6134"/>
    <w:rsid w:val="005E7F58"/>
    <w:rsid w:val="005F4C0C"/>
    <w:rsid w:val="005F5C11"/>
    <w:rsid w:val="00601DA4"/>
    <w:rsid w:val="00602C7A"/>
    <w:rsid w:val="006214D7"/>
    <w:rsid w:val="006424B6"/>
    <w:rsid w:val="00645CF6"/>
    <w:rsid w:val="00664E38"/>
    <w:rsid w:val="00675C15"/>
    <w:rsid w:val="006776AE"/>
    <w:rsid w:val="006803F6"/>
    <w:rsid w:val="00696020"/>
    <w:rsid w:val="006A46F0"/>
    <w:rsid w:val="006A6AF4"/>
    <w:rsid w:val="006B10B8"/>
    <w:rsid w:val="006B4511"/>
    <w:rsid w:val="006C048C"/>
    <w:rsid w:val="006C34A1"/>
    <w:rsid w:val="006E048C"/>
    <w:rsid w:val="006E7F49"/>
    <w:rsid w:val="006F1A1E"/>
    <w:rsid w:val="006F346D"/>
    <w:rsid w:val="00700E4D"/>
    <w:rsid w:val="00703AB1"/>
    <w:rsid w:val="007046AB"/>
    <w:rsid w:val="007053A8"/>
    <w:rsid w:val="0070730C"/>
    <w:rsid w:val="007119EA"/>
    <w:rsid w:val="007215C8"/>
    <w:rsid w:val="0072288B"/>
    <w:rsid w:val="00722B46"/>
    <w:rsid w:val="00737BBE"/>
    <w:rsid w:val="00741B33"/>
    <w:rsid w:val="00750FE1"/>
    <w:rsid w:val="007514DF"/>
    <w:rsid w:val="00753CB5"/>
    <w:rsid w:val="0075778C"/>
    <w:rsid w:val="0077072F"/>
    <w:rsid w:val="007749DE"/>
    <w:rsid w:val="00787C47"/>
    <w:rsid w:val="00791327"/>
    <w:rsid w:val="00792AC3"/>
    <w:rsid w:val="007947D4"/>
    <w:rsid w:val="007959DD"/>
    <w:rsid w:val="007A0EDD"/>
    <w:rsid w:val="007A23EB"/>
    <w:rsid w:val="007B6EE5"/>
    <w:rsid w:val="007C0906"/>
    <w:rsid w:val="007C0F6E"/>
    <w:rsid w:val="007C56B2"/>
    <w:rsid w:val="007C6C71"/>
    <w:rsid w:val="007D0AA8"/>
    <w:rsid w:val="007E23B2"/>
    <w:rsid w:val="007E4684"/>
    <w:rsid w:val="007F0307"/>
    <w:rsid w:val="00807896"/>
    <w:rsid w:val="00807B02"/>
    <w:rsid w:val="00812BA8"/>
    <w:rsid w:val="00817AA2"/>
    <w:rsid w:val="00827383"/>
    <w:rsid w:val="0084099F"/>
    <w:rsid w:val="00855FCC"/>
    <w:rsid w:val="00860350"/>
    <w:rsid w:val="008612B2"/>
    <w:rsid w:val="00871E3F"/>
    <w:rsid w:val="00874A70"/>
    <w:rsid w:val="0087565F"/>
    <w:rsid w:val="00883ABB"/>
    <w:rsid w:val="0088431B"/>
    <w:rsid w:val="00887103"/>
    <w:rsid w:val="00892DF4"/>
    <w:rsid w:val="00895041"/>
    <w:rsid w:val="00897E24"/>
    <w:rsid w:val="008A4206"/>
    <w:rsid w:val="008C12DC"/>
    <w:rsid w:val="008C6097"/>
    <w:rsid w:val="008C6673"/>
    <w:rsid w:val="008E2933"/>
    <w:rsid w:val="008E3980"/>
    <w:rsid w:val="008E3E2C"/>
    <w:rsid w:val="008E5E16"/>
    <w:rsid w:val="008F24F5"/>
    <w:rsid w:val="00902BEC"/>
    <w:rsid w:val="00907451"/>
    <w:rsid w:val="00921613"/>
    <w:rsid w:val="00922792"/>
    <w:rsid w:val="00935EDE"/>
    <w:rsid w:val="00943ECF"/>
    <w:rsid w:val="00952796"/>
    <w:rsid w:val="009549EF"/>
    <w:rsid w:val="00956FEF"/>
    <w:rsid w:val="009611D3"/>
    <w:rsid w:val="00962155"/>
    <w:rsid w:val="00966EC6"/>
    <w:rsid w:val="00971811"/>
    <w:rsid w:val="0097337C"/>
    <w:rsid w:val="009851E0"/>
    <w:rsid w:val="0098633B"/>
    <w:rsid w:val="00991D2C"/>
    <w:rsid w:val="00992994"/>
    <w:rsid w:val="009A1E66"/>
    <w:rsid w:val="009A4C82"/>
    <w:rsid w:val="009A5DD7"/>
    <w:rsid w:val="009B0AA8"/>
    <w:rsid w:val="009B77B1"/>
    <w:rsid w:val="009B7800"/>
    <w:rsid w:val="009C4D4A"/>
    <w:rsid w:val="009C4FFE"/>
    <w:rsid w:val="009C6D4B"/>
    <w:rsid w:val="009D3F5D"/>
    <w:rsid w:val="009D4A3C"/>
    <w:rsid w:val="009D631C"/>
    <w:rsid w:val="009F4EB8"/>
    <w:rsid w:val="009F66DE"/>
    <w:rsid w:val="00A01E1E"/>
    <w:rsid w:val="00A1161D"/>
    <w:rsid w:val="00A16E1D"/>
    <w:rsid w:val="00A21005"/>
    <w:rsid w:val="00A255EC"/>
    <w:rsid w:val="00A26E2B"/>
    <w:rsid w:val="00A3060F"/>
    <w:rsid w:val="00A35FCC"/>
    <w:rsid w:val="00A41903"/>
    <w:rsid w:val="00A50EE2"/>
    <w:rsid w:val="00A63576"/>
    <w:rsid w:val="00A73443"/>
    <w:rsid w:val="00A74171"/>
    <w:rsid w:val="00A83FF4"/>
    <w:rsid w:val="00A96272"/>
    <w:rsid w:val="00AA53B5"/>
    <w:rsid w:val="00AA5FEA"/>
    <w:rsid w:val="00AC0126"/>
    <w:rsid w:val="00AC5703"/>
    <w:rsid w:val="00AC769A"/>
    <w:rsid w:val="00AD0389"/>
    <w:rsid w:val="00AD0BC9"/>
    <w:rsid w:val="00AD1185"/>
    <w:rsid w:val="00AD2094"/>
    <w:rsid w:val="00AF2BB2"/>
    <w:rsid w:val="00B02DEB"/>
    <w:rsid w:val="00B061A2"/>
    <w:rsid w:val="00B1469E"/>
    <w:rsid w:val="00B15229"/>
    <w:rsid w:val="00B16A59"/>
    <w:rsid w:val="00B25746"/>
    <w:rsid w:val="00B26002"/>
    <w:rsid w:val="00B26E5D"/>
    <w:rsid w:val="00B27F73"/>
    <w:rsid w:val="00B32D33"/>
    <w:rsid w:val="00B365EB"/>
    <w:rsid w:val="00B42B2C"/>
    <w:rsid w:val="00B42E5B"/>
    <w:rsid w:val="00B45846"/>
    <w:rsid w:val="00B46543"/>
    <w:rsid w:val="00B51880"/>
    <w:rsid w:val="00B52EB1"/>
    <w:rsid w:val="00B5384A"/>
    <w:rsid w:val="00B547F4"/>
    <w:rsid w:val="00B60059"/>
    <w:rsid w:val="00B63363"/>
    <w:rsid w:val="00B64C32"/>
    <w:rsid w:val="00B71BFC"/>
    <w:rsid w:val="00B74B7A"/>
    <w:rsid w:val="00B75F92"/>
    <w:rsid w:val="00B80C9C"/>
    <w:rsid w:val="00B84E2D"/>
    <w:rsid w:val="00B87AB3"/>
    <w:rsid w:val="00B929CF"/>
    <w:rsid w:val="00B95ED4"/>
    <w:rsid w:val="00B976C5"/>
    <w:rsid w:val="00BA7B0D"/>
    <w:rsid w:val="00BB1B83"/>
    <w:rsid w:val="00BB488A"/>
    <w:rsid w:val="00BC661B"/>
    <w:rsid w:val="00BD3823"/>
    <w:rsid w:val="00BD5E0B"/>
    <w:rsid w:val="00BD7B4B"/>
    <w:rsid w:val="00BE1582"/>
    <w:rsid w:val="00BE4436"/>
    <w:rsid w:val="00BE6B5D"/>
    <w:rsid w:val="00BF4F79"/>
    <w:rsid w:val="00BF7288"/>
    <w:rsid w:val="00C01565"/>
    <w:rsid w:val="00C0344C"/>
    <w:rsid w:val="00C11623"/>
    <w:rsid w:val="00C14F42"/>
    <w:rsid w:val="00C21974"/>
    <w:rsid w:val="00C26DAC"/>
    <w:rsid w:val="00C44E15"/>
    <w:rsid w:val="00C465A1"/>
    <w:rsid w:val="00C65338"/>
    <w:rsid w:val="00C669F3"/>
    <w:rsid w:val="00C810D7"/>
    <w:rsid w:val="00C84509"/>
    <w:rsid w:val="00CB1CEB"/>
    <w:rsid w:val="00CB795D"/>
    <w:rsid w:val="00CC34B2"/>
    <w:rsid w:val="00CC5CDC"/>
    <w:rsid w:val="00CE45F1"/>
    <w:rsid w:val="00CF1446"/>
    <w:rsid w:val="00CF29D2"/>
    <w:rsid w:val="00D01AF4"/>
    <w:rsid w:val="00D079EF"/>
    <w:rsid w:val="00D1272D"/>
    <w:rsid w:val="00D145B9"/>
    <w:rsid w:val="00D318C0"/>
    <w:rsid w:val="00D32E4F"/>
    <w:rsid w:val="00D40FD0"/>
    <w:rsid w:val="00D410B0"/>
    <w:rsid w:val="00D42AA8"/>
    <w:rsid w:val="00D44190"/>
    <w:rsid w:val="00D51E42"/>
    <w:rsid w:val="00D51F76"/>
    <w:rsid w:val="00D54152"/>
    <w:rsid w:val="00D608AE"/>
    <w:rsid w:val="00D608B8"/>
    <w:rsid w:val="00D60C30"/>
    <w:rsid w:val="00D60ED3"/>
    <w:rsid w:val="00D6676A"/>
    <w:rsid w:val="00D76655"/>
    <w:rsid w:val="00D85629"/>
    <w:rsid w:val="00D861D8"/>
    <w:rsid w:val="00D94CDB"/>
    <w:rsid w:val="00D957D0"/>
    <w:rsid w:val="00D95F46"/>
    <w:rsid w:val="00DA0011"/>
    <w:rsid w:val="00DA3926"/>
    <w:rsid w:val="00DA7E3F"/>
    <w:rsid w:val="00DB70E3"/>
    <w:rsid w:val="00DC752B"/>
    <w:rsid w:val="00DF1252"/>
    <w:rsid w:val="00DF1368"/>
    <w:rsid w:val="00DF5213"/>
    <w:rsid w:val="00E15470"/>
    <w:rsid w:val="00E20299"/>
    <w:rsid w:val="00E220C2"/>
    <w:rsid w:val="00E30FFD"/>
    <w:rsid w:val="00E31742"/>
    <w:rsid w:val="00E35D2D"/>
    <w:rsid w:val="00E35D8C"/>
    <w:rsid w:val="00E427C6"/>
    <w:rsid w:val="00E4662D"/>
    <w:rsid w:val="00E5402A"/>
    <w:rsid w:val="00E65882"/>
    <w:rsid w:val="00E71E7D"/>
    <w:rsid w:val="00E77FBE"/>
    <w:rsid w:val="00E920D4"/>
    <w:rsid w:val="00E92600"/>
    <w:rsid w:val="00E928B3"/>
    <w:rsid w:val="00E94169"/>
    <w:rsid w:val="00EA0E32"/>
    <w:rsid w:val="00EA733D"/>
    <w:rsid w:val="00EB3B46"/>
    <w:rsid w:val="00EB470A"/>
    <w:rsid w:val="00EB51C9"/>
    <w:rsid w:val="00EC572B"/>
    <w:rsid w:val="00ED2333"/>
    <w:rsid w:val="00EE5D56"/>
    <w:rsid w:val="00EF146A"/>
    <w:rsid w:val="00EF3E2E"/>
    <w:rsid w:val="00F01676"/>
    <w:rsid w:val="00F118AA"/>
    <w:rsid w:val="00F13DA6"/>
    <w:rsid w:val="00F20E02"/>
    <w:rsid w:val="00F335B7"/>
    <w:rsid w:val="00F43FDE"/>
    <w:rsid w:val="00F466F2"/>
    <w:rsid w:val="00F46B79"/>
    <w:rsid w:val="00F54751"/>
    <w:rsid w:val="00F62FE1"/>
    <w:rsid w:val="00F65507"/>
    <w:rsid w:val="00F76B05"/>
    <w:rsid w:val="00F813CC"/>
    <w:rsid w:val="00F90906"/>
    <w:rsid w:val="00F97255"/>
    <w:rsid w:val="00F974AA"/>
    <w:rsid w:val="00FA2878"/>
    <w:rsid w:val="00FA32E0"/>
    <w:rsid w:val="00FB6F44"/>
    <w:rsid w:val="00FC4E42"/>
    <w:rsid w:val="00FC4F24"/>
    <w:rsid w:val="00FC6983"/>
    <w:rsid w:val="00FD01D6"/>
    <w:rsid w:val="00FD3336"/>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BBA50C-FF40-4A42-B79A-2EA6B8A2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2018-09-10T19:12:00Z</cp:lastPrinted>
  <dcterms:created xsi:type="dcterms:W3CDTF">2018-09-10T14:59:00Z</dcterms:created>
  <dcterms:modified xsi:type="dcterms:W3CDTF">2018-12-06T00:25:00Z</dcterms:modified>
</cp:coreProperties>
</file>